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color w:val="1A4175"/>
          <w:sz w:val="40"/>
          <w:szCs w:val="40"/>
        </w:rPr>
        <w:t xml:space="preserve">CMA Report</w:t>
      </w:r>
    </w:p>
    <w:p>
      <w:pPr>
        <w:pBdr>
          <w:bottom w:val="single" w:color="1A4175" w:sz="1" w:space="1"/>
        </w:pBdr>
        <w:spacing w:after="120" w:before="12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4175"/>
          <w:sz w:val="28"/>
          <w:szCs w:val="28"/>
        </w:rPr>
        <w:t xml:space="preserve">Subject Property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{d.subject_name}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Asking Price: {d.subject_price}</w:t>
      </w:r>
    </w:p>
    <w:p>
      <w:pPr>
        <w:pBdr>
          <w:bottom w:val="single" w:color="1A4175" w:sz="1" w:space="1"/>
        </w:pBdr>
        <w:spacing w:after="120" w:before="12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4175"/>
          <w:sz w:val="28"/>
          <w:szCs w:val="28"/>
        </w:rPr>
        <w:t xml:space="preserve">Comparable Properties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{d.comparables}</w:t>
      </w:r>
    </w:p>
    <w:p>
      <w:pPr>
        <w:pBdr>
          <w:bottom w:val="single" w:color="1A4175" w:sz="1" w:space="1"/>
        </w:pBdr>
        <w:spacing w:after="120" w:before="12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4175"/>
          <w:sz w:val="28"/>
          <w:szCs w:val="28"/>
        </w:rPr>
        <w:t xml:space="preserve">Market Trends &amp; Analysis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{d.market_trends}</w:t>
      </w:r>
    </w:p>
    <w:p>
      <w:pPr>
        <w:pBdr>
          <w:bottom w:val="single" w:color="1A4175" w:sz="1" w:space="1"/>
        </w:pBdr>
        <w:spacing w:after="120" w:before="120"/>
      </w:pPr>
    </w:p>
    <w:p>
      <w:pPr>
        <w:spacing w:before="20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This CMA is prepared for informational purposes. All data sourced from public listings and market reports. Consult a licensed appraiser for formal valuation.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Generated by </w:t>
    </w:r>
    <w:r>
      <w:rPr>
        <w:rFonts w:ascii="Calibri" w:cs="Calibri" w:eastAsia="Calibri" w:hAnsi="Calibri"/>
        <w:i/>
        <w:iCs/>
        <w:color w:val="888888"/>
        <w:sz w:val="18"/>
        <w:szCs w:val="18"/>
      </w:rPr>
      <w:t xml:space="preserve">{d.generated_date}</w:t>
    </w:r>
    <w:r>
      <w:rPr>
        <w:rFonts w:ascii="Calibri" w:cs="Calibri" w:eastAsia="Calibri" w:hAnsi="Calibri"/>
        <w:color w:val="1A4175"/>
        <w:sz w:val="18"/>
        <w:szCs w:val="18"/>
      </w:rPr>
      <w:t xml:space="preserve">  |  TopRealty 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A4175" w:color="1A4175" w:val="clear"/>
      <w:jc w:val="center"/>
    </w:pPr>
    <w:r>
      <w:rPr>
        <w:rFonts w:ascii="Calibri" w:cs="Calibri" w:eastAsia="Calibri" w:hAnsi="Calibri"/>
        <w:b/>
        <w:bCs/>
        <w:color w:val="FFFFFF"/>
        <w:sz w:val="24"/>
        <w:szCs w:val="24"/>
      </w:rPr>
      <w:t xml:space="preserve">COMPARATIVE MARKET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2026-07-16T02:57:03.268Z</dcterms:created>
  <dcterms:modified xsi:type="dcterms:W3CDTF">2026-07-16T02:57:03.268Z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