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libri" w:cs="Calibri" w:eastAsia="Calibri" w:hAnsi="Calibri"/>
          <w:b/>
          <w:bCs/>
          <w:color w:val="1A4175"/>
          <w:sz w:val="40"/>
          <w:szCs w:val="40"/>
        </w:rPr>
        <w:t xml:space="preserve">Property Comparison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{d.details}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before="200"/>
      </w:pP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Prices and availability subject to change. Verify with a licensed agent.</w:t>
      </w:r>
    </w:p>
    <w:sectPr>
      <w:headerReference w:type="default" r:id="rId7"/>
      <w:footerReference w:type="default" r:id="rId8"/>
      <w:pgSz w:w="11906" w:h="16838" w:orient="portrait"/>
      <w:pgMar w:top="720" w:right="360" w:bottom="720" w:left="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Generated by </w:t>
    </w:r>
    <w:r>
      <w:rPr>
        <w:rFonts w:ascii="Calibri" w:cs="Calibri" w:eastAsia="Calibri" w:hAnsi="Calibri"/>
        <w:i/>
        <w:iCs/>
        <w:color w:val="888888"/>
        <w:sz w:val="18"/>
        <w:szCs w:val="18"/>
      </w:rPr>
      <w:t xml:space="preserve">{d.generated_date}</w:t>
    </w:r>
    <w:r>
      <w:rPr>
        <w:rFonts w:ascii="Calibri" w:cs="Calibri" w:eastAsia="Calibri" w:hAnsi="Calibri"/>
        <w:color w:val="1A4175"/>
        <w:sz w:val="18"/>
        <w:szCs w:val="18"/>
      </w:rPr>
      <w:t xml:space="preserve">  |  TopRealty AI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A4175" w:color="1A4175" w:val="clear"/>
      <w:jc w:val="center"/>
    </w:pPr>
    <w:r>
      <w:rPr>
        <w:rFonts w:ascii="Calibri" w:cs="Calibri" w:eastAsia="Calibri" w:hAnsi="Calibri"/>
        <w:b/>
        <w:bCs/>
        <w:color w:val="FFFFFF"/>
        <w:sz w:val="24"/>
        <w:szCs w:val="24"/>
      </w:rPr>
      <w:t xml:space="preserve">PROPERTY COMPARISON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2026-07-16T02:14:55.954Z</dcterms:created>
  <dcterms:modified xsi:type="dcterms:W3CDTF">2026-07-16T02:14:55.954Z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