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4175"/>
          <w:sz w:val="44"/>
          <w:szCs w:val="44"/>
        </w:rPr>
        <w:t xml:space="preserve">{c.property_name}</w:t>
      </w:r>
    </w:p>
    <w:p>
      <w:pPr>
        <w:spacing w:after="3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Property Brochure  |  Tone: </w:t>
      </w:r>
      <w:r>
        <w:rPr>
          <w:rFonts w:ascii="Calibri" w:cs="Calibri" w:eastAsia="Calibri" w:hAnsi="Calibri"/>
          <w:b/>
          <w:bCs/>
          <w:color w:val="941D28"/>
          <w:sz w:val="20"/>
          <w:szCs w:val="20"/>
        </w:rPr>
        <w:t xml:space="preserve">{c.tone}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Property Details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{c.details}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1A4175"/>
          <w:sz w:val="20"/>
          <w:szCs w:val="20"/>
        </w:rPr>
        <w:t xml:space="preserve">For inquiries, contact your TopRealty agent or visit www.toprealty.ai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{c.generated_date}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right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TOPREALTY</w:t>
    </w:r>
    <w:r>
      <w:rPr>
        <w:rFonts w:ascii="Calibri" w:cs="Calibri" w:eastAsia="Calibri" w:hAnsi="Calibri"/>
        <w:color w:val="CCCCCC"/>
        <w:sz w:val="18"/>
        <w:szCs w:val="18"/>
      </w:rPr>
      <w:t xml:space="preserve">  |  Philippine Real Estate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2026-07-16T01:58:19.313Z</dcterms:created>
  <dcterms:modified xsi:type="dcterms:W3CDTF">2026-07-16T01:58:19.313Z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