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Property Comparison</w:t>
      </w:r>
    </w:p>
    <w:p>
      <w:r>
        <w:rPr>
          <w:rFonts w:ascii="Calibri" w:cs="Calibri" w:eastAsia="Calibri" w:hAnsi="Calibri"/>
          <w:color w:val="FFFFFF"/>
          <w:sz w:val="1"/>
          <w:szCs w:val="1"/>
        </w:rPr>
        <w:t xml:space="preserve">{#c.properties}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─── </w:t>
      </w: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{.name}</w:t>
      </w: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 ───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Price: </w:t>
      </w:r>
      <w:r>
        <w:rPr>
          <w:rFonts w:ascii="Calibri" w:cs="Calibri" w:eastAsia="Calibri" w:hAnsi="Calibri"/>
          <w:b/>
          <w:bCs/>
          <w:color w:val="941D28"/>
          <w:sz w:val="22"/>
          <w:szCs w:val="22"/>
        </w:rPr>
        <w:t xml:space="preserve">{.price}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Specifications: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{.specs}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8B22"/>
          <w:sz w:val="22"/>
          <w:szCs w:val="22"/>
        </w:rPr>
        <w:t xml:space="preserve">✅ Pros: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{.pros}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941D28"/>
          <w:sz w:val="22"/>
          <w:szCs w:val="22"/>
        </w:rPr>
        <w:t xml:space="preserve">❌ Cons: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{.cons}</w:t>
      </w:r>
    </w:p>
    <w:p>
      <w:pPr>
        <w:pBdr>
          <w:bottom w:val="single" w:color="1A4175" w:sz="1" w:space="1"/>
        </w:pBdr>
        <w:spacing w:after="120" w:before="120"/>
      </w:pPr>
    </w:p>
    <w:p>
      <w:r>
        <w:rPr>
          <w:rFonts w:ascii="Calibri" w:cs="Calibri" w:eastAsia="Calibri" w:hAnsi="Calibri"/>
          <w:color w:val="FFFFFF"/>
          <w:sz w:val="1"/>
          <w:szCs w:val="1"/>
        </w:rPr>
        <w:t xml:space="preserve">{/c.properties}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Prices and availability subject to change. Verify with a licensed agent.</w:t>
      </w:r>
    </w:p>
    <w:sectPr>
      <w:headerReference w:type="default" r:id="rId7"/>
      <w:footerReference w:type="default" r:id="rId8"/>
      <w:pgSz w:w="11906" w:h="16838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{c.generated_date}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PROPERTY COMPARISON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2026-07-16T01:58:19.338Z</dcterms:created>
  <dcterms:modified xsi:type="dcterms:W3CDTF">2026-07-16T01:58:19.338Z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