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true"/>
        <w:keepLines/>
        <w:spacing w:before="200" w:after="0"/>
        <w:rPr/>
      </w:pPr>
      <w:r>
        <w:rPr/>
        <w:t>Worksheet: Infrastructure Evaluation</w:t>
      </w:r>
    </w:p>
    <w:p>
      <w:pPr>
        <w:pStyle w:val="Heading2"/>
        <w:rPr/>
      </w:pPr>
      <w:r>
        <w:rPr/>
        <w:t>Instructions:</w:t>
      </w:r>
    </w:p>
    <w:p>
      <w:pPr>
        <w:pStyle w:val="Normal"/>
        <w:rPr>
          <w:sz w:val="18"/>
          <w:szCs w:val="18"/>
        </w:rPr>
      </w:pPr>
      <w:r>
        <w:rPr>
          <w:sz w:val="18"/>
          <w:szCs w:val="18"/>
        </w:rPr>
        <w:t>- Fill out the worksheet below.</w:t>
        <w:br/>
        <w:t>- You may use products you've worked with directly or research publicly available solutions.</w:t>
        <w:br/>
        <w:t xml:space="preserve">- You may </w:t>
      </w:r>
      <w:r>
        <w:rPr>
          <w:sz w:val="18"/>
          <w:szCs w:val="18"/>
          <w:u w:val="single"/>
        </w:rPr>
        <w:t>optionally</w:t>
      </w:r>
      <w:r>
        <w:rPr>
          <w:sz w:val="18"/>
          <w:szCs w:val="18"/>
        </w:rPr>
        <w:t xml:space="preserve"> include a diagram to illustrate your solutions.</w:t>
      </w:r>
    </w:p>
    <w:tbl>
      <w:tblPr>
        <w:tblStyle w:val="TableGrid"/>
        <w:tblW w:w="1441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60"/>
        <w:gridCol w:w="840"/>
        <w:gridCol w:w="2433"/>
        <w:gridCol w:w="1462"/>
        <w:gridCol w:w="2781"/>
        <w:gridCol w:w="1539"/>
        <w:gridCol w:w="1341"/>
        <w:gridCol w:w="1626"/>
        <w:gridCol w:w="1434"/>
      </w:tblGrid>
      <w:tr>
        <w:trPr/>
        <w:tc>
          <w:tcPr>
            <w:tcW w:w="960" w:type="dxa"/>
            <w:tcBorders/>
          </w:tcPr>
          <w:p>
            <w:pPr>
              <w:pStyle w:val="Normal"/>
              <w:widowControl/>
              <w:spacing w:lineRule="auto" w:line="240" w:before="0" w:after="0"/>
              <w:jc w:val="left"/>
              <w:rPr>
                <w:rFonts w:ascii="Cambria" w:hAnsi="Cambria" w:eastAsia="ＭＳ 明朝" w:cs=""/>
                <w:kern w:val="0"/>
                <w:sz w:val="18"/>
                <w:szCs w:val="18"/>
                <w:lang w:val="en-US" w:eastAsia="en-US" w:bidi="ar-SA"/>
              </w:rPr>
            </w:pPr>
            <w:r>
              <w:rPr>
                <w:rFonts w:eastAsia="ＭＳ 明朝" w:cs=""/>
                <w:kern w:val="0"/>
                <w:sz w:val="18"/>
                <w:szCs w:val="18"/>
                <w:lang w:val="en-US" w:eastAsia="en-US" w:bidi="ar-SA"/>
              </w:rPr>
              <w:t>Era</w:t>
            </w:r>
          </w:p>
        </w:tc>
        <w:tc>
          <w:tcPr>
            <w:tcW w:w="840" w:type="dxa"/>
            <w:tcBorders/>
          </w:tcPr>
          <w:p>
            <w:pPr>
              <w:pStyle w:val="Normal"/>
              <w:widowControl/>
              <w:spacing w:lineRule="auto" w:line="240" w:before="0" w:after="0"/>
              <w:jc w:val="left"/>
              <w:rPr>
                <w:rFonts w:ascii="Cambria" w:hAnsi="Cambria" w:eastAsia="ＭＳ 明朝" w:cs=""/>
                <w:kern w:val="0"/>
                <w:sz w:val="18"/>
                <w:szCs w:val="18"/>
                <w:lang w:val="en-US" w:eastAsia="en-US" w:bidi="ar-SA"/>
              </w:rPr>
            </w:pPr>
            <w:r>
              <w:rPr>
                <w:rFonts w:eastAsia="ＭＳ 明朝" w:cs=""/>
                <w:kern w:val="0"/>
                <w:sz w:val="18"/>
                <w:szCs w:val="18"/>
                <w:lang w:val="en-US" w:eastAsia="en-US" w:bidi="ar-SA"/>
              </w:rPr>
              <w:t>Modern Product or Tool</w:t>
            </w:r>
          </w:p>
        </w:tc>
        <w:tc>
          <w:tcPr>
            <w:tcW w:w="2433" w:type="dxa"/>
            <w:tcBorders/>
          </w:tcPr>
          <w:p>
            <w:pPr>
              <w:pStyle w:val="Normal"/>
              <w:widowControl/>
              <w:spacing w:lineRule="auto" w:line="240" w:before="0" w:after="0"/>
              <w:jc w:val="left"/>
              <w:rPr>
                <w:rFonts w:ascii="Cambria" w:hAnsi="Cambria" w:eastAsia="ＭＳ 明朝" w:cs=""/>
                <w:kern w:val="0"/>
                <w:sz w:val="18"/>
                <w:szCs w:val="18"/>
                <w:lang w:val="en-US" w:eastAsia="en-US" w:bidi="ar-SA"/>
              </w:rPr>
            </w:pPr>
            <w:r>
              <w:rPr>
                <w:rFonts w:eastAsia="ＭＳ 明朝" w:cs=""/>
                <w:kern w:val="0"/>
                <w:sz w:val="18"/>
                <w:szCs w:val="18"/>
                <w:lang w:val="en-US" w:eastAsia="en-US" w:bidi="ar-SA"/>
              </w:rPr>
              <w:t>Cost / Affordability</w:t>
            </w:r>
          </w:p>
        </w:tc>
        <w:tc>
          <w:tcPr>
            <w:tcW w:w="1462" w:type="dxa"/>
            <w:tcBorders/>
          </w:tcPr>
          <w:p>
            <w:pPr>
              <w:pStyle w:val="Normal"/>
              <w:widowControl/>
              <w:spacing w:lineRule="auto" w:line="240" w:before="0" w:after="0"/>
              <w:jc w:val="left"/>
              <w:rPr>
                <w:rFonts w:ascii="Cambria" w:hAnsi="Cambria" w:eastAsia="ＭＳ 明朝" w:cs=""/>
                <w:kern w:val="0"/>
                <w:sz w:val="18"/>
                <w:szCs w:val="18"/>
                <w:lang w:val="en-US" w:eastAsia="en-US" w:bidi="ar-SA"/>
              </w:rPr>
            </w:pPr>
            <w:r>
              <w:rPr>
                <w:rFonts w:eastAsia="ＭＳ 明朝" w:cs=""/>
                <w:kern w:val="0"/>
                <w:sz w:val="18"/>
                <w:szCs w:val="18"/>
                <w:lang w:val="en-US" w:eastAsia="en-US" w:bidi="ar-SA"/>
              </w:rPr>
              <w:t>Ease of Use</w:t>
            </w:r>
          </w:p>
        </w:tc>
        <w:tc>
          <w:tcPr>
            <w:tcW w:w="2781" w:type="dxa"/>
            <w:tcBorders/>
          </w:tcPr>
          <w:p>
            <w:pPr>
              <w:pStyle w:val="Normal"/>
              <w:widowControl/>
              <w:spacing w:lineRule="auto" w:line="240" w:before="0" w:after="0"/>
              <w:jc w:val="left"/>
              <w:rPr>
                <w:rFonts w:ascii="Cambria" w:hAnsi="Cambria" w:eastAsia="ＭＳ 明朝" w:cs=""/>
                <w:kern w:val="0"/>
                <w:sz w:val="18"/>
                <w:szCs w:val="18"/>
                <w:lang w:val="en-US" w:eastAsia="en-US" w:bidi="ar-SA"/>
              </w:rPr>
            </w:pPr>
            <w:r>
              <w:rPr>
                <w:rFonts w:eastAsia="ＭＳ 明朝" w:cs=""/>
                <w:kern w:val="0"/>
                <w:sz w:val="18"/>
                <w:szCs w:val="18"/>
                <w:lang w:val="en-US" w:eastAsia="en-US" w:bidi="ar-SA"/>
              </w:rPr>
              <w:t>Security / Complexity</w:t>
            </w:r>
          </w:p>
        </w:tc>
        <w:tc>
          <w:tcPr>
            <w:tcW w:w="1539" w:type="dxa"/>
            <w:tcBorders/>
          </w:tcPr>
          <w:p>
            <w:pPr>
              <w:pStyle w:val="Normal"/>
              <w:widowControl/>
              <w:spacing w:lineRule="auto" w:line="240" w:before="0" w:after="0"/>
              <w:jc w:val="left"/>
              <w:rPr>
                <w:rFonts w:ascii="Cambria" w:hAnsi="Cambria" w:eastAsia="ＭＳ 明朝" w:cs=""/>
                <w:kern w:val="0"/>
                <w:sz w:val="18"/>
                <w:szCs w:val="18"/>
                <w:lang w:val="en-US" w:eastAsia="en-US" w:bidi="ar-SA"/>
              </w:rPr>
            </w:pPr>
            <w:r>
              <w:rPr>
                <w:rFonts w:eastAsia="ＭＳ 明朝" w:cs=""/>
                <w:kern w:val="0"/>
                <w:sz w:val="18"/>
                <w:szCs w:val="18"/>
                <w:lang w:val="en-US" w:eastAsia="en-US" w:bidi="ar-SA"/>
              </w:rPr>
              <w:t>Scalability</w:t>
            </w:r>
          </w:p>
        </w:tc>
        <w:tc>
          <w:tcPr>
            <w:tcW w:w="1341" w:type="dxa"/>
            <w:tcBorders/>
          </w:tcPr>
          <w:p>
            <w:pPr>
              <w:pStyle w:val="Normal"/>
              <w:widowControl/>
              <w:spacing w:lineRule="auto" w:line="240" w:before="0" w:after="0"/>
              <w:jc w:val="left"/>
              <w:rPr>
                <w:rFonts w:ascii="Cambria" w:hAnsi="Cambria" w:eastAsia="ＭＳ 明朝" w:cs=""/>
                <w:kern w:val="0"/>
                <w:sz w:val="18"/>
                <w:szCs w:val="18"/>
                <w:lang w:val="en-US" w:eastAsia="en-US" w:bidi="ar-SA"/>
              </w:rPr>
            </w:pPr>
            <w:r>
              <w:rPr>
                <w:rFonts w:eastAsia="ＭＳ 明朝" w:cs=""/>
                <w:kern w:val="0"/>
                <w:sz w:val="18"/>
                <w:szCs w:val="18"/>
                <w:lang w:val="en-US" w:eastAsia="en-US" w:bidi="ar-SA"/>
              </w:rPr>
              <w:t>Access Model (Local/Global)</w:t>
            </w:r>
          </w:p>
        </w:tc>
        <w:tc>
          <w:tcPr>
            <w:tcW w:w="1626" w:type="dxa"/>
            <w:tcBorders/>
          </w:tcPr>
          <w:p>
            <w:pPr>
              <w:pStyle w:val="Normal"/>
              <w:widowControl/>
              <w:spacing w:lineRule="auto" w:line="240" w:before="0" w:after="0"/>
              <w:jc w:val="left"/>
              <w:rPr>
                <w:rFonts w:ascii="Cambria" w:hAnsi="Cambria" w:eastAsia="ＭＳ 明朝" w:cs=""/>
                <w:kern w:val="0"/>
                <w:sz w:val="18"/>
                <w:szCs w:val="18"/>
                <w:lang w:val="en-US" w:eastAsia="en-US" w:bidi="ar-SA"/>
              </w:rPr>
            </w:pPr>
            <w:r>
              <w:rPr>
                <w:rFonts w:eastAsia="ＭＳ 明朝" w:cs=""/>
                <w:kern w:val="0"/>
                <w:sz w:val="18"/>
                <w:szCs w:val="18"/>
                <w:lang w:val="en-US" w:eastAsia="en-US" w:bidi="ar-SA"/>
              </w:rPr>
              <w:t>Power/Resource Requirements</w:t>
            </w:r>
          </w:p>
        </w:tc>
        <w:tc>
          <w:tcPr>
            <w:tcW w:w="1434" w:type="dxa"/>
            <w:tcBorders/>
          </w:tcPr>
          <w:p>
            <w:pPr>
              <w:pStyle w:val="Normal"/>
              <w:widowControl/>
              <w:spacing w:lineRule="auto" w:line="240" w:before="0" w:after="0"/>
              <w:jc w:val="left"/>
              <w:rPr>
                <w:rFonts w:ascii="Cambria" w:hAnsi="Cambria" w:eastAsia="ＭＳ 明朝" w:cs=""/>
                <w:kern w:val="0"/>
                <w:sz w:val="18"/>
                <w:szCs w:val="18"/>
                <w:lang w:val="en-US" w:eastAsia="en-US" w:bidi="ar-SA"/>
              </w:rPr>
            </w:pPr>
            <w:r>
              <w:rPr>
                <w:rFonts w:eastAsia="ＭＳ 明朝" w:cs=""/>
                <w:kern w:val="0"/>
                <w:sz w:val="18"/>
                <w:szCs w:val="18"/>
                <w:lang w:val="en-US" w:eastAsia="en-US" w:bidi="ar-SA"/>
              </w:rPr>
              <w:t>Maintenance Burden</w:t>
            </w:r>
          </w:p>
        </w:tc>
      </w:tr>
      <w:tr>
        <w:trPr/>
        <w:tc>
          <w:tcPr>
            <w:tcW w:w="960"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Monolithic/Centralized</w:t>
            </w:r>
          </w:p>
        </w:tc>
        <w:tc>
          <w:tcPr>
            <w:tcW w:w="840"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Shopify</w:t>
            </w:r>
          </w:p>
        </w:tc>
        <w:tc>
          <w:tcPr>
            <w:tcW w:w="2433"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High upfront (investment in full server/datacenter infrastructure, licenses, etc.); low recurring (hardware maintenance)</w:t>
            </w:r>
          </w:p>
        </w:tc>
        <w:tc>
          <w:tcPr>
            <w:tcW w:w="1462"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More difficult (org-proprietary tools, additional hardware configuration)</w:t>
            </w:r>
          </w:p>
        </w:tc>
        <w:tc>
          <w:tcPr>
            <w:tcW w:w="2781"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Fully secure (a</w:t>
            </w:r>
            <w:r>
              <w:rPr>
                <w:rFonts w:eastAsia="ＭＳ 明朝" w:cs=""/>
                <w:kern w:val="0"/>
                <w:sz w:val="14"/>
                <w:szCs w:val="14"/>
                <w:lang w:val="en-US" w:eastAsia="en-US" w:bidi="ar-SA"/>
              </w:rPr>
              <w:t>ccess and security</w:t>
            </w:r>
            <w:r>
              <w:rPr>
                <w:rFonts w:eastAsia="ＭＳ 明朝" w:cs=""/>
                <w:kern w:val="0"/>
                <w:sz w:val="14"/>
                <w:szCs w:val="14"/>
                <w:lang w:val="en-US" w:eastAsia="en-US" w:bidi="ar-SA"/>
              </w:rPr>
              <w:t xml:space="preserve"> managed by local IT); </w:t>
            </w:r>
            <w:r>
              <w:rPr>
                <w:rFonts w:eastAsia="ＭＳ 明朝" w:cs=""/>
                <w:kern w:val="0"/>
                <w:sz w:val="14"/>
                <w:szCs w:val="14"/>
                <w:lang w:val="en-US" w:eastAsia="en-US" w:bidi="ar-SA"/>
              </w:rPr>
              <w:t>moderatel</w:t>
            </w:r>
            <w:r>
              <w:rPr>
                <w:rFonts w:eastAsia="ＭＳ 明朝" w:cs=""/>
                <w:kern w:val="0"/>
                <w:sz w:val="14"/>
                <w:szCs w:val="14"/>
                <w:lang w:val="en-US" w:eastAsia="en-US" w:bidi="ar-SA"/>
              </w:rPr>
              <w:t>y complex (</w:t>
            </w:r>
            <w:r>
              <w:rPr>
                <w:rFonts w:eastAsia="ＭＳ 明朝" w:cs=""/>
                <w:kern w:val="0"/>
                <w:sz w:val="14"/>
                <w:szCs w:val="14"/>
                <w:lang w:val="en-US" w:eastAsia="en-US" w:bidi="ar-SA"/>
              </w:rPr>
              <w:t>org can specify exactly how resources are to be used and thereby streamline training</w:t>
            </w:r>
            <w:r>
              <w:rPr>
                <w:rFonts w:eastAsia="ＭＳ 明朝" w:cs=""/>
                <w:kern w:val="0"/>
                <w:sz w:val="14"/>
                <w:szCs w:val="14"/>
                <w:lang w:val="en-US" w:eastAsia="en-US" w:bidi="ar-SA"/>
              </w:rPr>
              <w:t>)</w:t>
            </w:r>
          </w:p>
        </w:tc>
        <w:tc>
          <w:tcPr>
            <w:tcW w:w="1539"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Limited (downtime for installation of new hardware)</w:t>
            </w:r>
          </w:p>
        </w:tc>
        <w:tc>
          <w:tcPr>
            <w:tcW w:w="1341"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Local (on-premises or by-permission VPN only)</w:t>
            </w:r>
          </w:p>
        </w:tc>
        <w:tc>
          <w:tcPr>
            <w:tcW w:w="1626"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High (local infrastructure must be locally supported—power, air conditioning, cabling, transmission devices)</w:t>
            </w:r>
          </w:p>
        </w:tc>
        <w:tc>
          <w:tcPr>
            <w:tcW w:w="1434"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 xml:space="preserve">High (all hardware is local and must be maintained; </w:t>
            </w:r>
            <w:r>
              <w:rPr>
                <w:rFonts w:eastAsia="ＭＳ 明朝" w:cs=""/>
                <w:kern w:val="0"/>
                <w:sz w:val="14"/>
                <w:szCs w:val="14"/>
                <w:lang w:val="en-US" w:eastAsia="en-US" w:bidi="ar-SA"/>
              </w:rPr>
              <w:t>full downtime for critical updates</w:t>
            </w:r>
            <w:r>
              <w:rPr>
                <w:rFonts w:eastAsia="ＭＳ 明朝" w:cs=""/>
                <w:kern w:val="0"/>
                <w:sz w:val="14"/>
                <w:szCs w:val="14"/>
                <w:lang w:val="en-US" w:eastAsia="en-US" w:bidi="ar-SA"/>
              </w:rPr>
              <w:t>)</w:t>
            </w:r>
          </w:p>
        </w:tc>
      </w:tr>
      <w:tr>
        <w:trPr/>
        <w:tc>
          <w:tcPr>
            <w:tcW w:w="960"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Network-Centric/</w:t>
            </w:r>
            <w:r>
              <w:rPr>
                <w:rFonts w:eastAsia="ＭＳ 明朝" w:cs=""/>
                <w:kern w:val="0"/>
                <w:sz w:val="14"/>
                <w:szCs w:val="14"/>
                <w:lang w:val="en-US" w:eastAsia="en-US" w:bidi="ar-SA"/>
              </w:rPr>
              <w:t>Fog</w:t>
            </w:r>
          </w:p>
        </w:tc>
        <w:tc>
          <w:tcPr>
            <w:tcW w:w="840"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Google Nest mesh wifi system</w:t>
            </w:r>
          </w:p>
        </w:tc>
        <w:tc>
          <w:tcPr>
            <w:tcW w:w="2433"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 xml:space="preserve">Moderate upfront (investment in some limited network infrastructure); moderate recurring </w:t>
            </w:r>
            <w:r>
              <w:rPr>
                <w:rFonts w:eastAsia="ＭＳ 明朝" w:cs=""/>
                <w:kern w:val="0"/>
                <w:sz w:val="14"/>
                <w:szCs w:val="14"/>
                <w:lang w:val="en-US" w:eastAsia="en-US" w:bidi="ar-SA"/>
              </w:rPr>
              <w:t>(access to non-local infrastructure)</w:t>
            </w:r>
          </w:p>
        </w:tc>
        <w:tc>
          <w:tcPr>
            <w:tcW w:w="1462"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Less difficult (mix of cloud interfaces and local systems/services)</w:t>
            </w:r>
          </w:p>
        </w:tc>
        <w:tc>
          <w:tcPr>
            <w:tcW w:w="2781"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Moderately secure (local IT only controls the resources that are local); mo</w:t>
            </w:r>
            <w:r>
              <w:rPr>
                <w:rFonts w:eastAsia="ＭＳ 明朝" w:cs=""/>
                <w:kern w:val="0"/>
                <w:sz w:val="14"/>
                <w:szCs w:val="14"/>
                <w:lang w:val="en-US" w:eastAsia="en-US" w:bidi="ar-SA"/>
              </w:rPr>
              <w:t>st</w:t>
            </w:r>
            <w:r>
              <w:rPr>
                <w:rFonts w:eastAsia="ＭＳ 明朝" w:cs=""/>
                <w:kern w:val="0"/>
                <w:sz w:val="14"/>
                <w:szCs w:val="14"/>
                <w:lang w:val="en-US" w:eastAsia="en-US" w:bidi="ar-SA"/>
              </w:rPr>
              <w:t xml:space="preserve"> complex (</w:t>
            </w:r>
            <w:r>
              <w:rPr>
                <w:rFonts w:eastAsia="ＭＳ 明朝" w:cs=""/>
                <w:kern w:val="0"/>
                <w:sz w:val="14"/>
                <w:szCs w:val="14"/>
                <w:lang w:val="en-US" w:eastAsia="en-US" w:bidi="ar-SA"/>
              </w:rPr>
              <w:t>hybrid of local systems and integrations with cloud services</w:t>
            </w:r>
            <w:r>
              <w:rPr>
                <w:rFonts w:eastAsia="ＭＳ 明朝" w:cs=""/>
                <w:kern w:val="0"/>
                <w:sz w:val="14"/>
                <w:szCs w:val="14"/>
                <w:lang w:val="en-US" w:eastAsia="en-US" w:bidi="ar-SA"/>
              </w:rPr>
              <w:t>)</w:t>
            </w:r>
          </w:p>
        </w:tc>
        <w:tc>
          <w:tcPr>
            <w:tcW w:w="1539"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 xml:space="preserve">Moderate (local scaling often dependent on available non-local resources </w:t>
            </w:r>
            <w:r>
              <w:rPr>
                <w:rFonts w:eastAsia="ＭＳ 明朝" w:cs=""/>
                <w:kern w:val="0"/>
                <w:sz w:val="14"/>
                <w:szCs w:val="14"/>
                <w:lang w:val="en-US" w:eastAsia="en-US" w:bidi="ar-SA"/>
              </w:rPr>
              <w:t>to match</w:t>
            </w:r>
            <w:r>
              <w:rPr>
                <w:rFonts w:eastAsia="ＭＳ 明朝" w:cs=""/>
                <w:kern w:val="0"/>
                <w:sz w:val="14"/>
                <w:szCs w:val="14"/>
                <w:lang w:val="en-US" w:eastAsia="en-US" w:bidi="ar-SA"/>
              </w:rPr>
              <w:t>)</w:t>
            </w:r>
          </w:p>
        </w:tc>
        <w:tc>
          <w:tcPr>
            <w:tcW w:w="1341"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Local and Regional</w:t>
            </w:r>
          </w:p>
        </w:tc>
        <w:tc>
          <w:tcPr>
            <w:tcW w:w="1626"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 xml:space="preserve">Moderate (only some infrastructure must be supported; </w:t>
            </w:r>
            <w:r>
              <w:rPr>
                <w:rFonts w:eastAsia="ＭＳ 明朝" w:cs=""/>
                <w:kern w:val="0"/>
                <w:sz w:val="14"/>
                <w:szCs w:val="14"/>
                <w:lang w:val="en-US" w:eastAsia="en-US" w:bidi="ar-SA"/>
              </w:rPr>
              <w:t>some power, maybe a small local network closet</w:t>
            </w:r>
            <w:r>
              <w:rPr>
                <w:rFonts w:eastAsia="ＭＳ 明朝" w:cs=""/>
                <w:kern w:val="0"/>
                <w:sz w:val="14"/>
                <w:szCs w:val="14"/>
                <w:lang w:val="en-US" w:eastAsia="en-US" w:bidi="ar-SA"/>
              </w:rPr>
              <w:t>)</w:t>
            </w:r>
          </w:p>
        </w:tc>
        <w:tc>
          <w:tcPr>
            <w:tcW w:w="1434"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 xml:space="preserve">Moderate (some hardware is local, other resources are managed elsewhere; </w:t>
            </w:r>
            <w:r>
              <w:rPr>
                <w:rFonts w:eastAsia="ＭＳ 明朝" w:cs=""/>
                <w:kern w:val="0"/>
                <w:sz w:val="14"/>
                <w:szCs w:val="14"/>
                <w:lang w:val="en-US" w:eastAsia="en-US" w:bidi="ar-SA"/>
              </w:rPr>
              <w:t>downtime potentially evitable</w:t>
            </w:r>
            <w:r>
              <w:rPr>
                <w:rFonts w:eastAsia="ＭＳ 明朝" w:cs=""/>
                <w:kern w:val="0"/>
                <w:sz w:val="14"/>
                <w:szCs w:val="14"/>
                <w:lang w:val="en-US" w:eastAsia="en-US" w:bidi="ar-SA"/>
              </w:rPr>
              <w:t>)</w:t>
            </w:r>
          </w:p>
        </w:tc>
      </w:tr>
      <w:tr>
        <w:trPr/>
        <w:tc>
          <w:tcPr>
            <w:tcW w:w="960"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Fully Cloud-Based</w:t>
            </w:r>
          </w:p>
        </w:tc>
        <w:tc>
          <w:tcPr>
            <w:tcW w:w="840"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Netflix</w:t>
            </w:r>
          </w:p>
        </w:tc>
        <w:tc>
          <w:tcPr>
            <w:tcW w:w="2433"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Low upfront (minimal local infrastructure); variable recurring (dependent on service utilization)</w:t>
            </w:r>
          </w:p>
        </w:tc>
        <w:tc>
          <w:tcPr>
            <w:tcW w:w="1462"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Easiest (learn a web interface)</w:t>
            </w:r>
          </w:p>
        </w:tc>
        <w:tc>
          <w:tcPr>
            <w:tcW w:w="2781"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 xml:space="preserve">Less secure (dependent on cloud provider); least complex </w:t>
            </w:r>
            <w:r>
              <w:rPr>
                <w:rFonts w:eastAsia="ＭＳ 明朝" w:cs=""/>
                <w:kern w:val="0"/>
                <w:sz w:val="14"/>
                <w:szCs w:val="14"/>
                <w:lang w:val="en-US" w:eastAsia="en-US" w:bidi="ar-SA"/>
              </w:rPr>
              <w:t>(access to internet)</w:t>
            </w:r>
          </w:p>
        </w:tc>
        <w:tc>
          <w:tcPr>
            <w:tcW w:w="1539"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 xml:space="preserve">High (elastic, on-demand, </w:t>
            </w:r>
            <w:r>
              <w:rPr>
                <w:rFonts w:eastAsia="ＭＳ 明朝" w:cs=""/>
                <w:kern w:val="0"/>
                <w:sz w:val="14"/>
                <w:szCs w:val="14"/>
                <w:lang w:val="en-US" w:eastAsia="en-US" w:bidi="ar-SA"/>
              </w:rPr>
              <w:t>user-independent</w:t>
            </w:r>
            <w:r>
              <w:rPr>
                <w:rFonts w:eastAsia="ＭＳ 明朝" w:cs=""/>
                <w:kern w:val="0"/>
                <w:sz w:val="14"/>
                <w:szCs w:val="14"/>
                <w:lang w:val="en-US" w:eastAsia="en-US" w:bidi="ar-SA"/>
              </w:rPr>
              <w:t>)</w:t>
            </w:r>
          </w:p>
        </w:tc>
        <w:tc>
          <w:tcPr>
            <w:tcW w:w="1341"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Global (if it can access the internet, it can access the cloud)</w:t>
            </w:r>
          </w:p>
        </w:tc>
        <w:tc>
          <w:tcPr>
            <w:tcW w:w="1626"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Low (minimal local infrastructure to consume power/resources)</w:t>
            </w:r>
          </w:p>
        </w:tc>
        <w:tc>
          <w:tcPr>
            <w:tcW w:w="1434" w:type="dxa"/>
            <w:tcBorders/>
          </w:tcPr>
          <w:p>
            <w:pPr>
              <w:pStyle w:val="Normal"/>
              <w:widowControl/>
              <w:spacing w:lineRule="auto" w:line="240" w:before="0" w:after="0"/>
              <w:jc w:val="left"/>
              <w:rPr>
                <w:rFonts w:ascii="Cambria" w:hAnsi="Cambria" w:eastAsia="ＭＳ 明朝" w:cs=""/>
                <w:kern w:val="0"/>
                <w:sz w:val="14"/>
                <w:szCs w:val="14"/>
                <w:lang w:val="en-US" w:eastAsia="en-US" w:bidi="ar-SA"/>
              </w:rPr>
            </w:pPr>
            <w:r>
              <w:rPr>
                <w:rFonts w:eastAsia="ＭＳ 明朝" w:cs=""/>
                <w:kern w:val="0"/>
                <w:sz w:val="14"/>
                <w:szCs w:val="14"/>
                <w:lang w:val="en-US" w:eastAsia="en-US" w:bidi="ar-SA"/>
              </w:rPr>
              <w:t xml:space="preserve">Low (no local maintenance, all outsourced; </w:t>
            </w:r>
            <w:r>
              <w:rPr>
                <w:rFonts w:eastAsia="ＭＳ 明朝" w:cs=""/>
                <w:kern w:val="0"/>
                <w:sz w:val="14"/>
                <w:szCs w:val="14"/>
                <w:lang w:val="en-US" w:eastAsia="en-US" w:bidi="ar-SA"/>
              </w:rPr>
              <w:t>no downtime</w:t>
            </w:r>
            <w:r>
              <w:rPr>
                <w:rFonts w:eastAsia="ＭＳ 明朝" w:cs=""/>
                <w:kern w:val="0"/>
                <w:sz w:val="14"/>
                <w:szCs w:val="14"/>
                <w:lang w:val="en-US" w:eastAsia="en-US" w:bidi="ar-SA"/>
              </w:rPr>
              <w:t>)</w:t>
            </w:r>
          </w:p>
        </w:tc>
      </w:tr>
    </w:tbl>
    <w:p>
      <w:pPr>
        <w:pStyle w:val="Normal"/>
        <w:rPr/>
      </w:pPr>
      <w:r>
        <w:rPr/>
        <w:br/>
      </w:r>
      <w:r>
        <w:rPr>
          <w:sz w:val="18"/>
          <w:szCs w:val="18"/>
        </w:rPr>
        <w:t>Additional Notes:</w:t>
        <w:br/>
        <w:t>- Cost / Affordability: Include upfront and recurring costs.</w:t>
        <w:br/>
        <w:t>- Ease of Use: Rank from beginner-friendly to technically complex.</w:t>
        <w:br/>
        <w:t>- Security / Complexity: Describe configuration requirements and risk exposure.</w:t>
        <w:br/>
        <w:t>- Scalability: Can this solution grow with more users or data?</w:t>
        <w:br/>
        <w:t>- Power/Resource Requirements: What kind of hardware or environmental needs exist?</w:t>
        <w:br/>
        <w:t>- Maintenance Burden: How much hands-on time is needed for updates or troubleshooting?</w:t>
      </w:r>
    </w:p>
    <w:p>
      <w:pPr>
        <w:pStyle w:val="Normal"/>
        <w:rPr>
          <w:b/>
          <w:bCs/>
        </w:rPr>
      </w:pPr>
      <w:r>
        <w:rPr>
          <w:b/>
          <w:bCs/>
        </w:rPr>
        <w:t xml:space="preserve">Modern Example: </w:t>
      </w:r>
      <w:r>
        <w:rPr>
          <w:b/>
          <w:bCs/>
          <w:u w:val="single"/>
        </w:rPr>
        <w:t>GitHub</w:t>
      </w:r>
    </w:p>
    <w:p>
      <w:pPr>
        <w:pStyle w:val="Normal"/>
        <w:rPr/>
      </w:pPr>
      <w:hyperlink r:id="rId3">
        <w:r>
          <w:rPr>
            <w:rStyle w:val="Hyperlink"/>
            <w:b w:val="false"/>
            <w:bCs w:val="false"/>
            <w:u w:val="none"/>
          </w:rPr>
          <w:t>https://www.infoq.com/articles/github-monolith-microservices/</w:t>
        </w:r>
      </w:hyperlink>
    </w:p>
    <w:p>
      <w:pPr>
        <w:pStyle w:val="Normal"/>
        <w:spacing w:before="0" w:after="200"/>
        <w:rPr>
          <w:b/>
          <w:bCs/>
        </w:rPr>
      </w:pPr>
      <w:r>
        <w:rPr>
          <w:b w:val="false"/>
          <w:bCs w:val="false"/>
          <w:u w:val="none"/>
        </w:rPr>
        <w:t>GitHub started as a pure Ruby on Rails monolith, designed and purpose-built to provide versioning and deployment services to others in as streamlined and consistent a manner as possible. This required large upfront investment in physical infrastructure and homebrew software architecture, and made scalability difficult if it was not planned for far in advance. As such, while maintaining a monolithic core, GitHub has migrated to a hybrid system in which specific processes that require scalability are operated as purpose-built cloud microservices. This allows services crucial to users to be more resilient and accessible while still allowing the company to have high control over its services’ core functionality and complexity. The change has increased complexity, as the microservices and sharded databases need to integrate seamlessly with the core, but GitHub was willing to take on this challenge in order to better serve their user base and ensure that the skillsets of their developers can be most efficiently deployed and utilized.</w:t>
      </w:r>
    </w:p>
    <w:sectPr>
      <w:type w:val="nextPage"/>
      <w:pgSz w:orient="landscape" w:w="15840" w:h="12240"/>
      <w:pgMar w:left="720" w:right="72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nfoq.com/articles/github-monolith-microservices/" TargetMode="External"/><Relationship Id="rId3" Type="http://schemas.openxmlformats.org/officeDocument/2006/relationships/hyperlink" Targe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LibreOffice/24.2.2.2$Windows_X86_64 LibreOffice_project/d56cc158d8a96260b836f100ef4b4ef25d6f1a01</Application>
  <AppVersion>15.0000</AppVersion>
  <Pages>1</Pages>
  <Words>527</Words>
  <Characters>3319</Characters>
  <CharactersWithSpaces>3803</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Jason Gill</dc:creator>
  <dc:description/>
  <dc:language>en-US</dc:language>
  <cp:lastModifiedBy/>
  <dcterms:modified xsi:type="dcterms:W3CDTF">2026-08-31T16:46:05Z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