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ind w:firstLine="0"/>
        <w:jc w:val="center"/>
      </w:pPr>
      <w:r>
        <w:rPr>
          <w:rFonts w:ascii="Calibri" w:hAnsi="Calibri" w:eastAsia="Calibri"/>
          <w:b/>
          <w:i w:val="0"/>
          <w:color w:val="1C2833"/>
          <w:sz w:val="22"/>
        </w:rPr>
        <w:t>PROJETO INTEGRADOR — UNIVALI</w:t>
      </w:r>
    </w:p>
    <w:p>
      <w:pPr>
        <w:spacing w:after="200" w:before="0" w:line="276" w:lineRule="auto"/>
        <w:ind w:firstLine="0"/>
        <w:jc w:val="center"/>
      </w:pPr>
      <w:r>
        <w:rPr>
          <w:rFonts w:ascii="Calibri" w:hAnsi="Calibri" w:eastAsia="Calibri"/>
          <w:b w:val="0"/>
          <w:i w:val="0"/>
          <w:color w:val="1C2833"/>
          <w:sz w:val="22"/>
        </w:rPr>
        <w:t>Sistemas para Internet</w:t>
      </w:r>
    </w:p>
    <w:p>
      <w:pPr>
        <w:spacing w:after="40" w:before="0" w:line="276" w:lineRule="auto"/>
        <w:ind w:firstLine="0"/>
        <w:jc w:val="center"/>
      </w:pPr>
      <w:r>
        <w:rPr>
          <w:rFonts w:ascii="Calibri" w:hAnsi="Calibri" w:eastAsia="Calibri"/>
          <w:b/>
          <w:i w:val="0"/>
          <w:color w:val="1C2833"/>
          <w:sz w:val="52"/>
        </w:rPr>
        <w:t>CronotaScan</w:t>
      </w:r>
    </w:p>
    <w:p>
      <w:pPr>
        <w:spacing w:after="80" w:before="0" w:line="276" w:lineRule="auto"/>
        <w:ind w:firstLine="0"/>
        <w:jc w:val="center"/>
      </w:pPr>
      <w:r>
        <w:rPr>
          <w:rFonts w:ascii="Calibri" w:hAnsi="Calibri" w:eastAsia="Calibri"/>
          <w:b w:val="0"/>
          <w:i/>
          <w:color w:val="1C2833"/>
          <w:sz w:val="28"/>
        </w:rPr>
        <w:t>Lean Inception — visão do produto</w:t>
      </w:r>
    </w:p>
    <w:p>
      <w:pPr>
        <w:spacing w:after="360" w:before="0" w:line="276" w:lineRule="auto"/>
        <w:ind w:firstLine="0"/>
        <w:jc w:val="center"/>
      </w:pPr>
      <w:r>
        <w:rPr>
          <w:rFonts w:ascii="Calibri" w:hAnsi="Calibri" w:eastAsia="Calibri"/>
          <w:b w:val="0"/>
          <w:i w:val="0"/>
          <w:color w:val="1C2833"/>
          <w:sz w:val="24"/>
        </w:rPr>
        <w:t>José Eduardo  ·  Márcio Fossa</w:t>
      </w:r>
    </w:p>
    <w:p>
      <w:pPr>
        <w:spacing w:before="320" w:after="160"/>
        <w:ind w:firstLine="0"/>
      </w:pPr>
      <w:r>
        <w:rPr>
          <w:rFonts w:ascii="Calibri" w:hAnsi="Calibri" w:eastAsia="Calibri"/>
          <w:b/>
          <w:i w:val="0"/>
          <w:color w:val="1B4F72"/>
          <w:sz w:val="32"/>
        </w:rPr>
        <w:t>1. Visão do produto</w:t>
      </w:r>
    </w:p>
    <w:p>
      <w:pPr>
        <w:spacing w:after="20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A visão abaixo segue o formato da Lean Inception (CAROLI): uma frase simples que explica para quem é o produto, qual problema resolve e o que o diferencia.</w:t>
      </w:r>
    </w:p>
    <w:p>
      <w:pPr>
        <w:spacing w:before="80" w:after="120"/>
        <w:ind w:firstLine="0"/>
      </w:pPr>
      <w:r>
        <w:rPr>
          <w:rFonts w:ascii="Calibri" w:hAnsi="Calibri" w:eastAsia="Calibri"/>
          <w:b/>
          <w:i w:val="0"/>
          <w:color w:val="1B4F72"/>
          <w:sz w:val="26"/>
        </w:rPr>
        <w:t>Pitch (visão em uma frase)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B4F72"/>
          <w:left w:val="single" w:sz="8" w:space="0" w:color="1B4F72"/>
          <w:bottom w:val="single" w:sz="8" w:space="0" w:color="1B4F72"/>
          <w:right w:val="single" w:sz="8" w:space="0" w:color="1B4F72"/>
          <w:insideH w:val="single" w:sz="8" w:space="0" w:color="1B4F72"/>
          <w:insideV w:val="single" w:sz="8" w:space="0" w:color="1B4F72"/>
        </w:tblBorders>
      </w:tblPr>
      <w:tblGrid>
        <w:gridCol w:w="4819"/>
        <w:gridCol w:w="4819"/>
      </w:tblGrid>
      <w:tr>
        <w:tc>
          <w:tcPr>
            <w:tcW w:type="dxa" w:w="2381"/>
            <w:shd w:fill="1B4F72" w:val="clear"/>
            <w:shd w:fill="1B4F72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Para</w:t>
            </w:r>
          </w:p>
        </w:tc>
        <w:tc>
          <w:tcPr>
            <w:tcW w:type="dxa" w:w="7143"/>
            <w:shd w:fill="EAF2F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4"/>
              </w:rPr>
              <w:t>gestores de frota, auditores e operadores que conferem discos de cronotacógrafo</w:t>
            </w:r>
          </w:p>
        </w:tc>
      </w:tr>
      <w:tr>
        <w:tc>
          <w:tcPr>
            <w:tcW w:type="dxa" w:w="2381"/>
            <w:shd w:fill="1B4F72" w:val="clear"/>
            <w:shd w:fill="1B4F72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Cujo problema é</w:t>
            </w:r>
          </w:p>
        </w:tc>
        <w:tc>
          <w:tcPr>
            <w:tcW w:type="dxa" w:w="7143"/>
            <w:shd w:fill="EAF2F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4"/>
              </w:rPr>
              <w:t>ler o papel circular de 24 horas no olho, de forma lenta, subjetiva e difícil de guardar como prova</w:t>
            </w:r>
          </w:p>
        </w:tc>
      </w:tr>
      <w:tr>
        <w:tc>
          <w:tcPr>
            <w:tcW w:type="dxa" w:w="2381"/>
            <w:shd w:fill="1B4F72" w:val="clear"/>
            <w:shd w:fill="1B4F72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O</w:t>
            </w:r>
          </w:p>
        </w:tc>
        <w:tc>
          <w:tcPr>
            <w:tcW w:type="dxa" w:w="7143"/>
            <w:shd w:fill="EAF2F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4"/>
              </w:rPr>
              <w:t>CronotaScan</w:t>
            </w:r>
          </w:p>
        </w:tc>
      </w:tr>
      <w:tr>
        <w:tc>
          <w:tcPr>
            <w:tcW w:type="dxa" w:w="2381"/>
            <w:shd w:fill="1B4F72" w:val="clear"/>
            <w:shd w:fill="1B4F72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É um</w:t>
            </w:r>
          </w:p>
        </w:tc>
        <w:tc>
          <w:tcPr>
            <w:tcW w:type="dxa" w:w="7143"/>
            <w:shd w:fill="EAF2F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4"/>
              </w:rPr>
              <w:t>leitor visual de discos analógicos, usado no computador local</w:t>
            </w:r>
          </w:p>
        </w:tc>
      </w:tr>
      <w:tr>
        <w:tc>
          <w:tcPr>
            <w:tcW w:type="dxa" w:w="2381"/>
            <w:shd w:fill="1B4F72" w:val="clear"/>
            <w:shd w:fill="1B4F72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Que</w:t>
            </w:r>
          </w:p>
        </w:tc>
        <w:tc>
          <w:tcPr>
            <w:tcW w:type="dxa" w:w="7143"/>
            <w:shd w:fill="EAF2F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4"/>
              </w:rPr>
              <w:t>transforma a foto do disco em curva de velocidade, alertas e laudo</w:t>
            </w:r>
          </w:p>
        </w:tc>
      </w:tr>
      <w:tr>
        <w:tc>
          <w:tcPr>
            <w:tcW w:type="dxa" w:w="2381"/>
            <w:shd w:fill="1B4F72" w:val="clear"/>
            <w:shd w:fill="1B4F72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Diferente de</w:t>
            </w:r>
          </w:p>
        </w:tc>
        <w:tc>
          <w:tcPr>
            <w:tcW w:type="dxa" w:w="7143"/>
            <w:shd w:fill="EAF2F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4"/>
              </w:rPr>
              <w:t>a leitura só no papel, da planilha manuscrita ou de equipamentos caros de oficina</w:t>
            </w:r>
          </w:p>
        </w:tc>
      </w:tr>
      <w:tr>
        <w:tc>
          <w:tcPr>
            <w:tcW w:type="dxa" w:w="2381"/>
            <w:shd w:fill="1B4F72" w:val="clear"/>
            <w:shd w:fill="1B4F72" w:val="clear"/>
          </w:tcPr>
          <w:p>
            <w:pPr>
              <w:jc w:val="left"/>
            </w:pPr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Nosso produto</w:t>
            </w:r>
          </w:p>
        </w:tc>
        <w:tc>
          <w:tcPr>
            <w:tcW w:type="dxa" w:w="7143"/>
            <w:shd w:fill="EAF2F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4"/>
              </w:rPr>
              <w:t>padroniza a conferência: placa + foto → dashboard + histórico + PDF, sem precisar de nuvem ou de login</w:t>
            </w:r>
          </w:p>
        </w:tc>
      </w:tr>
    </w:tbl>
    <w:p/>
    <w:p>
      <w:pPr>
        <w:spacing w:before="80" w:after="120"/>
        <w:ind w:firstLine="0"/>
      </w:pPr>
      <w:r>
        <w:rPr>
          <w:rFonts w:ascii="Calibri" w:hAnsi="Calibri" w:eastAsia="Calibri"/>
          <w:b/>
          <w:i w:val="0"/>
          <w:color w:val="1B4F72"/>
          <w:sz w:val="26"/>
        </w:rPr>
        <w:t>Visão em texto corrido</w:t>
      </w:r>
    </w:p>
    <w:p>
      <w:pPr>
        <w:spacing w:after="24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Para quem precisa conferir discos de cronotacógrafo, o CronotaScan é um sistema web local que lê a foto do disco, mostra a velocidade ao longo do dia, aponta excessos e paradas longas e guarda um laudo em PDF. Não substitui o disco físico nem um laudo oficial de oficina: ajuda a equipe a trabalhar mais rápido e com o mesmo critério em todo disco.</w:t>
      </w:r>
    </w:p>
    <w:p>
      <w:pPr>
        <w:spacing w:before="320" w:after="160"/>
        <w:ind w:firstLine="0"/>
      </w:pPr>
      <w:r>
        <w:rPr>
          <w:rFonts w:ascii="Calibri" w:hAnsi="Calibri" w:eastAsia="Calibri"/>
          <w:b/>
          <w:i w:val="0"/>
          <w:color w:val="1B4F72"/>
          <w:sz w:val="32"/>
        </w:rPr>
        <w:t>2. É / não é  ·  Faz / não faz</w:t>
      </w:r>
    </w:p>
    <w:p>
      <w:pPr>
        <w:spacing w:after="20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Esse quadro da Lean Inception evita expectativa errada. O lado esquerdo é o produto. O lado direito é o que fica de fora nesta versão do PGI.</w:t>
      </w:r>
    </w:p>
    <w:p>
      <w:pPr>
        <w:spacing w:before="80" w:after="120"/>
        <w:ind w:firstLine="0"/>
      </w:pPr>
      <w:r>
        <w:rPr>
          <w:rFonts w:ascii="Calibri" w:hAnsi="Calibri" w:eastAsia="Calibri"/>
          <w:b/>
          <w:i w:val="0"/>
          <w:color w:val="1B4F72"/>
          <w:sz w:val="26"/>
        </w:rPr>
        <w:t>O produto É  ×  NÃO 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B4F72"/>
          <w:left w:val="single" w:sz="8" w:space="0" w:color="1B4F72"/>
          <w:bottom w:val="single" w:sz="8" w:space="0" w:color="1B4F72"/>
          <w:right w:val="single" w:sz="8" w:space="0" w:color="1B4F72"/>
          <w:insideH w:val="single" w:sz="8" w:space="0" w:color="1B4F72"/>
          <w:insideV w:val="single" w:sz="8" w:space="0" w:color="1B4F72"/>
        </w:tblBorders>
      </w:tblPr>
      <w:tblGrid>
        <w:gridCol w:w="4819"/>
        <w:gridCol w:w="4819"/>
      </w:tblGrid>
      <w:tr>
        <w:tc>
          <w:tcPr>
            <w:tcW w:type="dxa" w:w="4819"/>
            <w:shd w:fill="1B4F7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É</w:t>
            </w:r>
          </w:p>
        </w:tc>
        <w:tc>
          <w:tcPr>
            <w:tcW w:type="dxa" w:w="4819"/>
            <w:shd w:fill="1B4F7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Não é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 protótipo acadêmico utilizável (PGI)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 app de celular (Android/iOS)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 leitor de disco por visão computacional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 sistema na nuvem / SaaS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 painel local (computador + navegador)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 substituto jurídico do disco de papel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Uma ajuda para auditoria interna da frota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 laudo de oficina credenciada pelo Inmetro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 registro por placa (histórico + PDF)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Um ERP de frota ou sistema de RH</w:t>
            </w:r>
          </w:p>
        </w:tc>
      </w:tr>
    </w:tbl>
    <w:p/>
    <w:p>
      <w:pPr>
        <w:spacing w:before="80" w:after="120"/>
        <w:ind w:firstLine="0"/>
      </w:pPr>
      <w:r>
        <w:rPr>
          <w:rFonts w:ascii="Calibri" w:hAnsi="Calibri" w:eastAsia="Calibri"/>
          <w:b/>
          <w:i w:val="0"/>
          <w:color w:val="1B4F72"/>
          <w:sz w:val="26"/>
        </w:rPr>
        <w:t>O produto FAZ  ×  NÃO FAZ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1B4F72"/>
          <w:left w:val="single" w:sz="8" w:space="0" w:color="1B4F72"/>
          <w:bottom w:val="single" w:sz="8" w:space="0" w:color="1B4F72"/>
          <w:right w:val="single" w:sz="8" w:space="0" w:color="1B4F72"/>
          <w:insideH w:val="single" w:sz="8" w:space="0" w:color="1B4F72"/>
          <w:insideV w:val="single" w:sz="8" w:space="0" w:color="1B4F72"/>
        </w:tblBorders>
      </w:tblPr>
      <w:tblGrid>
        <w:gridCol w:w="4819"/>
        <w:gridCol w:w="4819"/>
      </w:tblGrid>
      <w:tr>
        <w:tc>
          <w:tcPr>
            <w:tcW w:type="dxa" w:w="4819"/>
            <w:shd w:fill="1B4F7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Faz</w:t>
            </w:r>
          </w:p>
        </w:tc>
        <w:tc>
          <w:tcPr>
            <w:tcW w:type="dxa" w:w="4819"/>
            <w:shd w:fill="1B4F72" w:val="clear"/>
          </w:tcPr>
          <w:p>
            <w:pPr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Não faz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Recebe a foto do disco (PNG/JPG) e a placa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Não faz login nem cadastro de usuário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Desenha a curva de velocidade das 24 horas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Não lê o nome manuscrito no miolo do disco (OCR)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Marca excesso acima de 80 km/h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Não reconhece a placa na foto sozinho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Marca parada longa (mais de 10 minutos parado)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Não envia WhatsApp, e-mail automático nem pagamento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Estima a distância e guarda a viagem no banco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Não conecta com sistema da transportadora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Gera laudo PDF para arquivo interno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Não fiscaliza o motorista em tempo real</w:t>
            </w:r>
          </w:p>
        </w:tc>
      </w:tr>
      <w:tr>
        <w:tc>
          <w:tcPr>
            <w:tcW w:type="dxa" w:w="4819"/>
            <w:shd w:fill="D5F5E3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Mostra erro claro se a foto estiver ilegível</w:t>
            </w:r>
          </w:p>
        </w:tc>
        <w:tc>
          <w:tcPr>
            <w:tcW w:type="dxa" w:w="4819"/>
            <w:shd w:fill="FADBD8" w:val="clear"/>
          </w:tcPr>
          <w:p>
            <w:pPr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C2833"/>
                <w:sz w:val="22"/>
              </w:rPr>
              <w:t>Não garante leitura perfeita em foto ruim ou torta</w:t>
            </w:r>
          </w:p>
        </w:tc>
      </w:tr>
    </w:tbl>
    <w:p/>
    <w:p>
      <w:pPr>
        <w:spacing w:before="320" w:after="160"/>
        <w:ind w:firstLine="0"/>
      </w:pPr>
      <w:r>
        <w:rPr>
          <w:rFonts w:ascii="Calibri" w:hAnsi="Calibri" w:eastAsia="Calibri"/>
          <w:b/>
          <w:i w:val="0"/>
          <w:color w:val="1B4F72"/>
          <w:sz w:val="32"/>
        </w:rPr>
        <w:t>3. Os 3 objetivos principais</w:t>
      </w:r>
    </w:p>
    <w:p>
      <w:pPr>
        <w:spacing w:after="20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Na Lean Inception, poucos objetivos bem claros valem mais do que uma lista enorme. Para o CronotaScan, neste PGI, são estes três:</w:t>
      </w:r>
    </w:p>
    <w:p>
      <w:pPr>
        <w:spacing w:before="80" w:after="120"/>
        <w:ind w:firstLine="0"/>
      </w:pPr>
      <w:r>
        <w:rPr>
          <w:rFonts w:ascii="Calibri" w:hAnsi="Calibri" w:eastAsia="Calibri"/>
          <w:b/>
          <w:i w:val="0"/>
          <w:color w:val="1B4F72"/>
          <w:sz w:val="26"/>
        </w:rPr>
        <w:t>Objetivo 1 — Ler o disco de forma padronizada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Tirar a conferência do “olhômetro”. A partir da foto, o sistema mostra a jornada em uma curva simples (hora × km/h), para qualquer pessoa da equipe ver o mesmo gráfico.</w:t>
      </w:r>
    </w:p>
    <w:p>
      <w:pPr>
        <w:spacing w:before="80" w:after="120"/>
        <w:ind w:firstLine="0"/>
      </w:pPr>
      <w:r>
        <w:rPr>
          <w:rFonts w:ascii="Calibri" w:hAnsi="Calibri" w:eastAsia="Calibri"/>
          <w:b/>
          <w:i w:val="0"/>
          <w:color w:val="1B4F72"/>
          <w:sz w:val="26"/>
        </w:rPr>
        <w:t>Objetivo 2 — Destacar o que importa na jornada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Apontar sozinho os trechos acima de 80 km/h e as paradas longas (mais de 10 minutos). Assim o gestor não precisa caçar o traço no papel circular.</w:t>
      </w:r>
    </w:p>
    <w:p>
      <w:pPr>
        <w:spacing w:before="80" w:after="120"/>
        <w:ind w:firstLine="0"/>
      </w:pPr>
      <w:r>
        <w:rPr>
          <w:rFonts w:ascii="Calibri" w:hAnsi="Calibri" w:eastAsia="Calibri"/>
          <w:b/>
          <w:i w:val="0"/>
          <w:color w:val="1B4F72"/>
          <w:sz w:val="26"/>
        </w:rPr>
        <w:t>Objetivo 3 — Deixar rastro para auditoria</w:t>
      </w:r>
    </w:p>
    <w:p>
      <w:pPr>
        <w:spacing w:after="16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Gravar cada leitura por placa e emitir um PDF com resumo, imagem desdobrada e alertas. O disco físico continua existindo; o sistema só organiza a evidência.</w:t>
      </w:r>
    </w:p>
    <w:p>
      <w:pPr>
        <w:spacing w:after="32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4"/>
        </w:rPr>
        <w:t>Como saber se deu certo (bem simples): (1) uma foto boa gera curva visível; (2) excessos e paradas aparecem na tela; (3) dá para reabrir a viagem no histórico e baixar o PDF.</w:t>
      </w:r>
    </w:p>
    <w:p>
      <w:pPr>
        <w:spacing w:after="40" w:before="0" w:line="276" w:lineRule="auto"/>
        <w:ind w:firstLine="0"/>
        <w:jc w:val="both"/>
      </w:pPr>
      <w:r>
        <w:rPr>
          <w:rFonts w:ascii="Calibri" w:hAnsi="Calibri" w:eastAsia="Calibri"/>
          <w:b/>
          <w:i w:val="0"/>
          <w:color w:val="1C2833"/>
          <w:sz w:val="20"/>
        </w:rPr>
        <w:t>Referência do método</w:t>
      </w:r>
    </w:p>
    <w:p>
      <w:pPr>
        <w:spacing w:after="80" w:before="0" w:line="276" w:lineRule="auto"/>
        <w:ind w:firstLine="0"/>
        <w:jc w:val="both"/>
      </w:pPr>
      <w:r>
        <w:rPr>
          <w:rFonts w:ascii="Calibri" w:hAnsi="Calibri" w:eastAsia="Calibri"/>
          <w:b w:val="0"/>
          <w:i w:val="0"/>
          <w:color w:val="1C2833"/>
          <w:sz w:val="20"/>
        </w:rPr>
        <w:t>CAROLI, Paulo. Lean Inception: como alinhar pessoas e construir o produto certo. São Paulo: Editora Caroli, 2018. Artefatos usados: visão do produto; é / não é; faz / não faz; objetivos do produto.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