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52"/>
          <w:szCs w:val="52"/>
        </w:rPr>
        <w:t xml:space="preserve">PHOENIX PLATFORM</w:t>
      </w:r>
    </w:p>
    <w:p>
      <w:pPr>
        <w:spacing w:after="200"/>
        <w:jc w:val="center"/>
      </w:pPr>
      <w:r>
        <w:rPr>
          <w:rFonts w:ascii="Arial" w:cs="Arial" w:eastAsia="Arial" w:hAnsi="Arial"/>
          <w:b/>
          <w:bCs/>
          <w:color w:val="2E75B6"/>
          <w:sz w:val="40"/>
          <w:szCs w:val="40"/>
        </w:rPr>
        <w:t xml:space="preserve">Codex Agent Instructions</w:t>
      </w:r>
    </w:p>
    <w:p>
      <w:pPr>
        <w:spacing w:after="200"/>
        <w:jc w:val="center"/>
      </w:pPr>
      <w:r>
        <w:rPr>
          <w:rFonts w:ascii="Arial" w:cs="Arial" w:eastAsia="Arial" w:hAnsi="Arial"/>
          <w:color w:val="666666"/>
          <w:sz w:val="24"/>
          <w:szCs w:val="24"/>
        </w:rPr>
        <w:t xml:space="preserve">Comprehensive Build Plan for AI-Assisted Development</w:t>
      </w:r>
    </w:p>
    <w:p>
      <w:pPr>
        <w:spacing w:after="60"/>
      </w:pPr>
    </w:p>
    <w:p>
      <w:pPr>
        <w:spacing w:after="60"/>
      </w:pPr>
    </w:p>
    <w:p>
      <w:pPr>
        <w:spacing w:after="100"/>
        <w:jc w:val="center"/>
      </w:pPr>
      <w:r>
        <w:rPr>
          <w:rFonts w:ascii="Arial" w:cs="Arial" w:eastAsia="Arial" w:hAnsi="Arial"/>
          <w:color w:val="666666"/>
          <w:sz w:val="22"/>
          <w:szCs w:val="22"/>
        </w:rPr>
        <w:t xml:space="preserve">Document 7 — March 2026</w:t>
      </w:r>
    </w:p>
    <w:p>
      <w:pPr>
        <w:spacing w:after="100"/>
        <w:jc w:val="center"/>
      </w:pPr>
      <w:r>
        <w:rPr>
          <w:rFonts w:ascii="Arial" w:cs="Arial" w:eastAsia="Arial" w:hAnsi="Arial"/>
          <w:color w:val="888888"/>
          <w:sz w:val="20"/>
          <w:szCs w:val="20"/>
        </w:rPr>
        <w:t xml:space="preserve">For use with OpenAI Codex, Claude Code, or similar AI coding agents</w:t>
      </w:r>
    </w:p>
    <w:p>
      <w:r>
        <w:br w:type="page"/>
      </w:r>
    </w:p>
    <w:p>
      <w:pPr>
        <w:pStyle w:val="Heading1"/>
      </w:pPr>
      <w:r>
        <w:rPr>
          <w:rFonts w:ascii="Arial" w:cs="Arial" w:eastAsia="Arial" w:hAnsi="Arial"/>
          <w:b/>
          <w:bCs/>
          <w:sz w:val="32"/>
          <w:szCs w:val="32"/>
        </w:rPr>
        <w:t xml:space="preserve">1. Mission Brief</w:t>
      </w:r>
    </w:p>
    <w:p>
      <w:pPr>
        <w:spacing w:after="120"/>
      </w:pPr>
      <w:r>
        <w:rPr>
          <w:rFonts w:ascii="Arial" w:cs="Arial" w:eastAsia="Arial" w:hAnsi="Arial"/>
          <w:sz w:val="20"/>
          <w:szCs w:val="20"/>
        </w:rPr>
        <w:t xml:space="preserve">You are building the Phoenix Platform — a modern, Go-based microservices sportsbook and prediction market platform. Your job is to translate business logic from legacy codebases (Scala/Akka, Node.js, Python/Django, Java) into clean Go microservices, following the architecture and patterns defined in this document.</w:t>
      </w:r>
    </w:p>
    <w:p>
      <w:pPr>
        <w:spacing w:after="60"/>
      </w:pPr>
    </w:p>
    <w:p>
      <w:pPr>
        <w:spacing w:after="120"/>
      </w:pPr>
      <w:r>
        <w:rPr>
          <w:rFonts w:ascii="Arial" w:cs="Arial" w:eastAsia="Arial" w:hAnsi="Arial"/>
          <w:b/>
          <w:bCs/>
          <w:sz w:val="20"/>
          <w:szCs w:val="20"/>
        </w:rPr>
        <w:t xml:space="preserve">What you are building:</w:t>
      </w:r>
    </w:p>
    <w:p>
      <w:pPr>
        <w:pStyle w:val="ListParagraph"/>
        <w:numPr>
          <w:ilvl w:val="0"/>
          <w:numId w:val="2"/>
        </w:numPr>
        <w:spacing w:after="60"/>
      </w:pPr>
      <w:r>
        <w:rPr>
          <w:rFonts w:ascii="Arial" w:cs="Arial" w:eastAsia="Arial" w:hAnsi="Arial"/>
          <w:sz w:val="20"/>
          <w:szCs w:val="20"/>
        </w:rPr>
        <w:t xml:space="preserve">14 Go microservices (plus 1 Scala/Flink exception) that together form a complete sportsbook platform</w:t>
      </w:r>
    </w:p>
    <w:p>
      <w:pPr>
        <w:pStyle w:val="ListParagraph"/>
        <w:numPr>
          <w:ilvl w:val="0"/>
          <w:numId w:val="2"/>
        </w:numPr>
        <w:spacing w:after="60"/>
      </w:pPr>
      <w:r>
        <w:rPr>
          <w:rFonts w:ascii="Arial" w:cs="Arial" w:eastAsia="Arial" w:hAnsi="Arial"/>
          <w:sz w:val="20"/>
          <w:szCs w:val="20"/>
        </w:rPr>
        <w:t xml:space="preserve">A bot-first prediction market exchange architecture</w:t>
      </w:r>
    </w:p>
    <w:p>
      <w:pPr>
        <w:pStyle w:val="ListParagraph"/>
        <w:numPr>
          <w:ilvl w:val="0"/>
          <w:numId w:val="2"/>
        </w:numPr>
        <w:spacing w:after="60"/>
      </w:pPr>
      <w:r>
        <w:rPr>
          <w:rFonts w:ascii="Arial" w:cs="Arial" w:eastAsia="Arial" w:hAnsi="Arial"/>
          <w:sz w:val="20"/>
          <w:szCs w:val="20"/>
        </w:rPr>
        <w:t xml:space="preserve">DGE-compliant (New Jersey Division of Gaming Enforcement) platform with full audit trail</w:t>
      </w:r>
    </w:p>
    <w:p>
      <w:pPr>
        <w:spacing w:after="60"/>
      </w:pPr>
    </w:p>
    <w:p>
      <w:pPr>
        <w:spacing w:after="120"/>
      </w:pPr>
      <w:r>
        <w:rPr>
          <w:rFonts w:ascii="Arial" w:cs="Arial" w:eastAsia="Arial" w:hAnsi="Arial"/>
          <w:b/>
          <w:bCs/>
          <w:sz w:val="20"/>
          <w:szCs w:val="20"/>
        </w:rPr>
        <w:t xml:space="preserve">What you are NOT doing:</w:t>
      </w:r>
    </w:p>
    <w:p>
      <w:pPr>
        <w:pStyle w:val="ListParagraph"/>
        <w:numPr>
          <w:ilvl w:val="0"/>
          <w:numId w:val="2"/>
        </w:numPr>
        <w:spacing w:after="60"/>
      </w:pPr>
      <w:r>
        <w:rPr>
          <w:rFonts w:ascii="Arial" w:cs="Arial" w:eastAsia="Arial" w:hAnsi="Arial"/>
          <w:sz w:val="20"/>
          <w:szCs w:val="20"/>
        </w:rPr>
        <w:t xml:space="preserve">You are NOT deploying the legacy systems. They are source material only.</w:t>
      </w:r>
    </w:p>
    <w:p>
      <w:pPr>
        <w:pStyle w:val="ListParagraph"/>
        <w:numPr>
          <w:ilvl w:val="0"/>
          <w:numId w:val="2"/>
        </w:numPr>
        <w:spacing w:after="60"/>
      </w:pPr>
      <w:r>
        <w:rPr>
          <w:rFonts w:ascii="Arial" w:cs="Arial" w:eastAsia="Arial" w:hAnsi="Arial"/>
          <w:sz w:val="20"/>
          <w:szCs w:val="20"/>
        </w:rPr>
        <w:t xml:space="preserve">You are NOT building a monolith. Every service must be independently deployable.</w:t>
      </w:r>
    </w:p>
    <w:p>
      <w:pPr>
        <w:pStyle w:val="ListParagraph"/>
        <w:numPr>
          <w:ilvl w:val="0"/>
          <w:numId w:val="2"/>
        </w:numPr>
        <w:spacing w:after="60"/>
      </w:pPr>
      <w:r>
        <w:rPr>
          <w:rFonts w:ascii="Arial" w:cs="Arial" w:eastAsia="Arial" w:hAnsi="Arial"/>
          <w:sz w:val="20"/>
          <w:szCs w:val="20"/>
        </w:rPr>
        <w:t xml:space="preserve">You are NOT writing Scala or Akka code (except Stella). Everything new is Go.</w:t>
      </w:r>
    </w:p>
    <w:p>
      <w:pPr>
        <w:pStyle w:val="ListParagraph"/>
        <w:numPr>
          <w:ilvl w:val="0"/>
          <w:numId w:val="2"/>
        </w:numPr>
        <w:spacing w:after="60"/>
      </w:pPr>
      <w:r>
        <w:rPr>
          <w:rFonts w:ascii="Arial" w:cs="Arial" w:eastAsia="Arial" w:hAnsi="Arial"/>
          <w:sz w:val="20"/>
          <w:szCs w:val="20"/>
        </w:rPr>
        <w:t xml:space="preserve">You are NOT building observability, customer support, or A/B testing tools. These are external buys.</w:t>
      </w:r>
    </w:p>
    <w:p>
      <w:r>
        <w:br w:type="page"/>
      </w:r>
    </w:p>
    <w:p>
      <w:pPr>
        <w:pStyle w:val="Heading1"/>
      </w:pPr>
      <w:r>
        <w:rPr>
          <w:rFonts w:ascii="Arial" w:cs="Arial" w:eastAsia="Arial" w:hAnsi="Arial"/>
          <w:b/>
          <w:bCs/>
          <w:sz w:val="32"/>
          <w:szCs w:val="32"/>
        </w:rPr>
        <w:t xml:space="preserve">2. Governing Directives</w:t>
      </w:r>
    </w:p>
    <w:p>
      <w:pPr>
        <w:spacing w:after="120"/>
      </w:pPr>
      <w:r>
        <w:rPr>
          <w:rFonts w:ascii="Arial" w:cs="Arial" w:eastAsia="Arial" w:hAnsi="Arial"/>
          <w:sz w:val="20"/>
          <w:szCs w:val="20"/>
        </w:rPr>
        <w:t xml:space="preserve">These 7 directives are non-negotiable constraints. Every architectural and implementation decision must comply with all 7.</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Directive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Microservices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Evolve to full microservices architecture. Keep Stella as a microservice (NOT absorbed). Every service independently deployable.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Strapi CMS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free community Strapi with a 6-month sunset goal. Build phoenix-cms in Go to replace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externally ($0-400/mo). Use Grafana Cloud free tier or equivalent. Do not build custom observability.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Support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externally ($50-300/mo). Use Crisp, Tawk.to, or equivalent. Do not build custom support tooling.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as Primary 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Refactor everything into Go. Scala/Akka is the wrong backend language. Exception: Stella stays Scala/Flink for stream processing.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or use free tier solution. GrowthBook (OSS) recommended at $0/mo.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 Porting Philosophy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BOTH synthetic porting (LLM translation) AND code archaeology (manual extraction). Let code quality dictate approach per module.</w:t>
            </w:r>
          </w:p>
        </w:tc>
      </w:tr>
    </w:tbl>
    <w:p>
      <w:r>
        <w:br w:type="page"/>
      </w:r>
    </w:p>
    <w:p>
      <w:pPr>
        <w:pStyle w:val="Heading1"/>
      </w:pPr>
      <w:r>
        <w:rPr>
          <w:rFonts w:ascii="Arial" w:cs="Arial" w:eastAsia="Arial" w:hAnsi="Arial"/>
          <w:b/>
          <w:bCs/>
          <w:sz w:val="32"/>
          <w:szCs w:val="32"/>
        </w:rPr>
        <w:t xml:space="preserve">3. Target Architecture — 14 Microservices</w:t>
      </w:r>
    </w:p>
    <w:p>
      <w:pPr>
        <w:spacing w:after="120"/>
      </w:pPr>
      <w:r>
        <w:rPr>
          <w:rFonts w:ascii="Arial" w:cs="Arial" w:eastAsia="Arial" w:hAnsi="Arial"/>
          <w:sz w:val="20"/>
          <w:szCs w:val="20"/>
        </w:rPr>
        <w:t xml:space="preserve">Each microservice is independently deployable, owns its own PostgreSQL schema, communicates via Kafka events, and exposes HTTP/gRPC APIs through phoenix-gateway.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00"/>
        <w:gridCol w:w="2200"/>
        <w:gridCol w:w="27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Lang</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PhoenixBotRevival Source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4 Source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phoenix-gateway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 auth, rate limiting, request routing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(gateway module)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4/GSTech/gstech-api-gateway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phoenix-market-engine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creation, odds calculation, pricing, trading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(market-service, pricing)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4/SBTech/sbtech-akka-prices-pump, /Users/johnb/Desktop/PhoenixBotRevival/sbtech-integration/sbt-price-pump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phoenix-betting-engine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 placement, validation, settlement, risk management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(betting-service, risk)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4/GSTech/gstech-betting-engine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phoenix-wallet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Deposits, withdrawals, balances, transaction ledger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/Users/johnb/Desktop/PhoenixBotRevival/gmx-waysun (waysun-wallet)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4/GSTech/gstech-wallet-service, /Users/johnb/Desktop/Phase 4/RMX/rmx-payments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phoenix-user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KYC, profiles, session management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(user-service)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4/GSTech/gstech-user-service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phoenix-events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catalog, scheduling, results, live data feeds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(events-service)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4/GSTech/gstech-events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Promotions, bonuses, loyalty programs, campaigns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/Users/johnb/Desktop/PhoenixBotRevival/gmx-waysun (rule-configurator)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4/GSTech/gstech-promotions, /Users/johnb/Desktop/Phase 4/GSTech/gstech-bonus-engine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 responsible gaming, state rules, regulatory reporting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(compliance modules)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4/GSTech/gstech-compliance, /Users/johnb/Desktop/Phase 4/RMX/rmx-aml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Tracking, reporting, dashboards, personalization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/Users/johnb/Desktop/PhoenixBotRevival/gmx-services (analytics)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4/GSTech/gstech-analytics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phoenix-settlement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 settlement, reconciliation, audit trail, ledger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(settlement-service)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4/GSTech/gstech-settlement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phoenix-social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Leaderboards, social features, competitions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 (algorithm from Flip)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4/Flip/flip-leaderboard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phoenix-notification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push, SMS, in-app notifications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4/GSTech/gstech-notifications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phoenix-cms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management (replaces Strapi after sunset)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4/Strapi (reference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stella-engagement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processing, achievements, rewards, gamification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Scala/Flink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/Users/johnb/Desktop/PhoenixBotRevival/gmx-waysun (full platform)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(deploy existing)</w:t>
            </w:r>
          </w:p>
        </w:tc>
      </w:tr>
    </w:tbl>
    <w:p>
      <w:r>
        <w:br w:type="page"/>
      </w:r>
    </w:p>
    <w:p>
      <w:pPr>
        <w:pStyle w:val="Heading1"/>
      </w:pPr>
      <w:r>
        <w:rPr>
          <w:rFonts w:ascii="Arial" w:cs="Arial" w:eastAsia="Arial" w:hAnsi="Arial"/>
          <w:b/>
          <w:bCs/>
          <w:sz w:val="32"/>
          <w:szCs w:val="32"/>
        </w:rPr>
        <w:t xml:space="preserve">4. Source Code Locations</w:t>
      </w:r>
    </w:p>
    <w:p>
      <w:pPr>
        <w:pStyle w:val="Heading2"/>
      </w:pPr>
      <w:r>
        <w:rPr>
          <w:rFonts w:ascii="Arial" w:cs="Arial" w:eastAsia="Arial" w:hAnsi="Arial"/>
          <w:b/>
          <w:bCs/>
          <w:sz w:val="28"/>
          <w:szCs w:val="28"/>
        </w:rPr>
        <w:t xml:space="preserve">4.1 PhoenixBotRevival Workspace (Primary)</w:t>
      </w:r>
    </w:p>
    <w:p>
      <w:pPr>
        <w:spacing w:after="120"/>
      </w:pPr>
      <w:r>
        <w:rPr>
          <w:rFonts w:ascii="Arial" w:cs="Arial" w:eastAsia="Arial" w:hAnsi="Arial"/>
          <w:sz w:val="20"/>
          <w:szCs w:val="20"/>
        </w:rPr>
        <w:t xml:space="preserve">This is the active workspace with audited, cleaned codebases. Use these as primary source material.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Scala/Akka, Java, Python, TS/JS (72K+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sportsbook: betting engine, market service, wallet, user service, events, compliance, settlement, gateway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talon-backoffice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/Users/johnb/Desktop/PhoenixBotRevival/talon-backoffice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Node/React/TS (2,250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backoffice for sportsbook operations, trader tools, customer management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gmx-waysun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/Users/johnb/Desktop/PhoenixBotRevival/gmx-waysun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Scala/Flink, Java, Python, Next.js (1,500+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Stella platform: event ingestor, rule configurator, wallet, achievement engine, Stella frontend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gmx-infrastructure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/Users/johnb/Desktop/PhoenixBotRevival/gmx-infrastructure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Python, Java (123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infra: Traefik, NiFi, NiFi REST bridge, Postgres/Redis/Kafka compose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sbtech-integration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/Users/johnb/Desktop/PhoenixBotRevival/sbtech-integration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Java, TS (137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SBTech adapters: price pump, rewards calculator, data consumer, rollup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gmx-services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/Users/johnb/Desktop/PhoenixBotRevival/gmx-services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 Java, Python (1,061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service modules and support capabilities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gmx-streaming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/Users/johnb/Desktop/PhoenixBotRevival/gmx-streaming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 (646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processing jobs, internal model mapping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gmx-data-apis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/Users/johnb/Desktop/PhoenixBotRevival/gmx-data-apis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 Java (175 files)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data APIs and shared models</w:t>
            </w:r>
          </w:p>
        </w:tc>
      </w:tr>
    </w:tbl>
    <w:p>
      <w:pPr>
        <w:spacing w:after="60"/>
      </w:pPr>
    </w:p>
    <w:p>
      <w:pPr>
        <w:pStyle w:val="Heading2"/>
      </w:pPr>
      <w:r>
        <w:rPr>
          <w:rFonts w:ascii="Arial" w:cs="Arial" w:eastAsia="Arial" w:hAnsi="Arial"/>
          <w:b/>
          <w:bCs/>
          <w:sz w:val="28"/>
          <w:szCs w:val="28"/>
        </w:rPr>
        <w:t xml:space="preserve">4.2 Phase 4 Archive (Secondary Reference)</w:t>
      </w:r>
    </w:p>
    <w:p>
      <w:pPr>
        <w:spacing w:after="120"/>
      </w:pPr>
      <w:r>
        <w:rPr>
          <w:rFonts w:ascii="Arial" w:cs="Arial" w:eastAsia="Arial" w:hAnsi="Arial"/>
          <w:sz w:val="20"/>
          <w:szCs w:val="20"/>
        </w:rPr>
        <w:t xml:space="preserve">Phase 4 contains 15 platform groups with 118 repositories (~78,416 files, ~16GB). These are historical codebases from prior company environments. Use for business logic extraction and code archaeology.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1000"/>
        <w:gridCol w:w="3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Repos</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Business Logic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GSTech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4/GSTech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repos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betting, wallet, user, events, promotions, compliance, analytics, notifications, settlement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Stella/Waysun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4/Waysun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Scala/Flink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repos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processing, achievements, rewards, wallet, gamification engine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RMX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4/RMX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Python/Django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repos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 AML compliance, reporting, user management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SBTech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4/SBTech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Akka/Java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repos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feeds, market data, live trading, Akka persistence patterns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4/Flip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Java/Storm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repos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 algorithm, social competition, real-time rankings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4/Strapi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repos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CMS content models, API definitions (reference for phoenix-cms)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Argyll Video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4/Argyll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Flask/Java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repos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streaming orchestration, video player integration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Infra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4/CloudInfra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K8s/Terraform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repos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Kubernetes configs, Terraform modules, CI/CD pipelines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Idefix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/Users/johnb/Desktop/Phase 4/Idefix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repos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Backoffice tools, reporting dashboards, admin utilities</w:t>
            </w:r>
          </w:p>
        </w:tc>
      </w:tr>
    </w:tbl>
    <w:p>
      <w:r>
        <w:br w:type="page"/>
      </w:r>
    </w:p>
    <w:p>
      <w:pPr>
        <w:pStyle w:val="Heading1"/>
      </w:pPr>
      <w:r>
        <w:rPr>
          <w:rFonts w:ascii="Arial" w:cs="Arial" w:eastAsia="Arial" w:hAnsi="Arial"/>
          <w:b/>
          <w:bCs/>
          <w:sz w:val="32"/>
          <w:szCs w:val="32"/>
        </w:rPr>
        <w:t xml:space="preserve">5. Translation Patterns (Source → Go)</w:t>
      </w:r>
    </w:p>
    <w:p>
      <w:pPr>
        <w:spacing w:after="120"/>
      </w:pPr>
      <w:r>
        <w:rPr>
          <w:rFonts w:ascii="Arial" w:cs="Arial" w:eastAsia="Arial" w:hAnsi="Arial"/>
          <w:sz w:val="20"/>
          <w:szCs w:val="20"/>
        </w:rPr>
        <w:t xml:space="preserve">When porting business logic, use these 15 translation patterns. Each maps a source language pattern to its Go equivalent.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Pattern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 Equivalent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Express.js Routes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net/http + chi/gorilla router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handlers, middleware chains, request parsing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Node.js Event Emitters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channels + goroutines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event handling, pub/sub patterns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Mongoose (MongoDB ODM)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sqlx + pgx (PostgreSQL)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models, queries, migrations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Sequelize (SQL 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sqlx + pgx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models, associations, transactions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sqlx + pgx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data models, querysets, migrations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Django Views/DRF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net/http handlers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endpoints, serializers, permissions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Akka Actors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goroutines + channels +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state machines, message passing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Akka Persistence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event store with PostgreSQL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sourcing, snapshots, recovery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Akka Streams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channels + pipeline pattern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processing, backpressure, operators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Framework Controllers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net/http handlers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routing, JSON serialization, middleware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Kafka Consumers (JVM)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confluent-kafka-go / segmentio/kafka-go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groups, offset management, deserialization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Storm Topologies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Kafka consumers + pipeline goroutines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processing DAGs, spouts, bolts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Flask/FastAPI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net/http + chi router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endpoints, request validation, middleware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React/Next.js Pages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as-is (frontend unchanged)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stays React/Next.js, only backend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Flink Jobs (Scala)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as-is in Stella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Stella exception: Flink stays Scala for stream processing</w:t>
            </w:r>
          </w:p>
        </w:tc>
      </w:tr>
    </w:tbl>
    <w:p>
      <w:pPr>
        <w:spacing w:after="60"/>
      </w:pPr>
    </w:p>
    <w:p>
      <w:pPr>
        <w:pStyle w:val="Heading2"/>
      </w:pPr>
      <w:r>
        <w:rPr>
          <w:rFonts w:ascii="Arial" w:cs="Arial" w:eastAsia="Arial" w:hAnsi="Arial"/>
          <w:b/>
          <w:bCs/>
          <w:sz w:val="28"/>
          <w:szCs w:val="28"/>
        </w:rPr>
        <w:t xml:space="preserve">5.1 Go Project Structure (Per Service)</w:t>
      </w:r>
    </w:p>
    <w:p>
      <w:pPr>
        <w:spacing w:after="120"/>
      </w:pPr>
      <w:r>
        <w:rPr>
          <w:rFonts w:ascii="Arial" w:cs="Arial" w:eastAsia="Arial" w:hAnsi="Arial"/>
          <w:sz w:val="20"/>
          <w:szCs w:val="20"/>
        </w:rPr>
        <w:t xml:space="preserve">Every Go microservice should follow this standard layout:</w:t>
      </w:r>
    </w:p>
    <w:p>
      <w:pPr>
        <w:spacing w:after="60"/>
      </w:pPr>
    </w:p>
    <w:p>
      <w:pPr>
        <w:spacing w:after="20"/>
      </w:pPr>
      <w:r>
        <w:rPr>
          <w:rFonts w:ascii="Courier New" w:cs="Courier New" w:eastAsia="Courier New" w:hAnsi="Courier New"/>
          <w:sz w:val="18"/>
          <w:szCs w:val="18"/>
        </w:rPr>
        <w:t xml:space="preserve">phoenix-{service}/</w:t>
      </w:r>
    </w:p>
    <w:p>
      <w:pPr>
        <w:spacing w:after="20"/>
      </w:pPr>
      <w:r>
        <w:rPr>
          <w:rFonts w:ascii="Courier New" w:cs="Courier New" w:eastAsia="Courier New" w:hAnsi="Courier New"/>
          <w:sz w:val="18"/>
          <w:szCs w:val="18"/>
        </w:rPr>
        <w:t xml:space="preserve">  cmd/server/main.go          # Entrypoint</w:t>
      </w:r>
    </w:p>
    <w:p>
      <w:pPr>
        <w:spacing w:after="20"/>
      </w:pPr>
      <w:r>
        <w:rPr>
          <w:rFonts w:ascii="Courier New" w:cs="Courier New" w:eastAsia="Courier New" w:hAnsi="Courier New"/>
          <w:sz w:val="18"/>
          <w:szCs w:val="18"/>
        </w:rPr>
        <w:t xml:space="preserve">  internal/</w:t>
      </w:r>
    </w:p>
    <w:p>
      <w:pPr>
        <w:spacing w:after="20"/>
      </w:pPr>
      <w:r>
        <w:rPr>
          <w:rFonts w:ascii="Courier New" w:cs="Courier New" w:eastAsia="Courier New" w:hAnsi="Courier New"/>
          <w:sz w:val="18"/>
          <w:szCs w:val="18"/>
        </w:rPr>
        <w:t xml:space="preserve">    domain/                    # Domain models, business rules</w:t>
      </w:r>
    </w:p>
    <w:p>
      <w:pPr>
        <w:spacing w:after="20"/>
      </w:pPr>
      <w:r>
        <w:rPr>
          <w:rFonts w:ascii="Courier New" w:cs="Courier New" w:eastAsia="Courier New" w:hAnsi="Courier New"/>
          <w:sz w:val="18"/>
          <w:szCs w:val="18"/>
        </w:rPr>
        <w:t xml:space="preserve">    service/                   # Business logic layer</w:t>
      </w:r>
    </w:p>
    <w:p>
      <w:pPr>
        <w:spacing w:after="20"/>
      </w:pPr>
      <w:r>
        <w:rPr>
          <w:rFonts w:ascii="Courier New" w:cs="Courier New" w:eastAsia="Courier New" w:hAnsi="Courier New"/>
          <w:sz w:val="18"/>
          <w:szCs w:val="18"/>
        </w:rPr>
        <w:t xml:space="preserve">    repository/                # Database access (sqlx/pgx)</w:t>
      </w:r>
    </w:p>
    <w:p>
      <w:pPr>
        <w:spacing w:after="20"/>
      </w:pPr>
      <w:r>
        <w:rPr>
          <w:rFonts w:ascii="Courier New" w:cs="Courier New" w:eastAsia="Courier New" w:hAnsi="Courier New"/>
          <w:sz w:val="18"/>
          <w:szCs w:val="18"/>
        </w:rPr>
        <w:t xml:space="preserve">    handler/                   # HTTP handlers</w:t>
      </w:r>
    </w:p>
    <w:p>
      <w:pPr>
        <w:spacing w:after="20"/>
      </w:pPr>
      <w:r>
        <w:rPr>
          <w:rFonts w:ascii="Courier New" w:cs="Courier New" w:eastAsia="Courier New" w:hAnsi="Courier New"/>
          <w:sz w:val="18"/>
          <w:szCs w:val="18"/>
        </w:rPr>
        <w:t xml:space="preserve">    kafka/                     # Kafka producers/consumers</w:t>
      </w:r>
    </w:p>
    <w:p>
      <w:pPr>
        <w:spacing w:after="20"/>
      </w:pPr>
      <w:r>
        <w:rPr>
          <w:rFonts w:ascii="Courier New" w:cs="Courier New" w:eastAsia="Courier New" w:hAnsi="Courier New"/>
          <w:sz w:val="18"/>
          <w:szCs w:val="18"/>
        </w:rPr>
        <w:t xml:space="preserve">  pkg/                         # Shared utilities (if any)</w:t>
      </w:r>
    </w:p>
    <w:p>
      <w:pPr>
        <w:spacing w:after="20"/>
      </w:pPr>
      <w:r>
        <w:rPr>
          <w:rFonts w:ascii="Courier New" w:cs="Courier New" w:eastAsia="Courier New" w:hAnsi="Courier New"/>
          <w:sz w:val="18"/>
          <w:szCs w:val="18"/>
        </w:rPr>
        <w:t xml:space="preserve">  migrations/                  # SQL migrations</w:t>
      </w:r>
    </w:p>
    <w:p>
      <w:pPr>
        <w:spacing w:after="20"/>
      </w:pPr>
      <w:r>
        <w:rPr>
          <w:rFonts w:ascii="Courier New" w:cs="Courier New" w:eastAsia="Courier New" w:hAnsi="Courier New"/>
          <w:sz w:val="18"/>
          <w:szCs w:val="18"/>
        </w:rPr>
        <w:t xml:space="preserve">  api/                         # OpenAPI specs, proto files</w:t>
      </w:r>
    </w:p>
    <w:p>
      <w:pPr>
        <w:spacing w:after="20"/>
      </w:pPr>
      <w:r>
        <w:rPr>
          <w:rFonts w:ascii="Courier New" w:cs="Courier New" w:eastAsia="Courier New" w:hAnsi="Courier New"/>
          <w:sz w:val="18"/>
          <w:szCs w:val="18"/>
        </w:rPr>
        <w:t xml:space="preserve">  Dockerfile</w:t>
      </w:r>
    </w:p>
    <w:p>
      <w:pPr>
        <w:spacing w:after="20"/>
      </w:pPr>
      <w:r>
        <w:rPr>
          <w:rFonts w:ascii="Courier New" w:cs="Courier New" w:eastAsia="Courier New" w:hAnsi="Courier New"/>
          <w:sz w:val="18"/>
          <w:szCs w:val="18"/>
        </w:rPr>
        <w:t xml:space="preserve">  go.mod</w:t>
      </w:r>
    </w:p>
    <w:p>
      <w:pPr>
        <w:spacing w:after="20"/>
      </w:pPr>
      <w:r>
        <w:rPr>
          <w:rFonts w:ascii="Courier New" w:cs="Courier New" w:eastAsia="Courier New" w:hAnsi="Courier New"/>
          <w:sz w:val="18"/>
          <w:szCs w:val="18"/>
        </w:rPr>
        <w:t xml:space="preserve">  go.sum</w:t>
      </w:r>
    </w:p>
    <w:p>
      <w:pPr>
        <w:spacing w:after="20"/>
      </w:pPr>
      <w:r>
        <w:rPr>
          <w:rFonts w:ascii="Courier New" w:cs="Courier New" w:eastAsia="Courier New" w:hAnsi="Courier New"/>
          <w:sz w:val="18"/>
          <w:szCs w:val="18"/>
        </w:rPr>
        <w:t xml:space="preserve">  Makefile</w:t>
      </w:r>
    </w:p>
    <w:p>
      <w:pPr>
        <w:spacing w:after="60"/>
      </w:pPr>
    </w:p>
    <w:p>
      <w:pPr>
        <w:pStyle w:val="Heading2"/>
      </w:pPr>
      <w:r>
        <w:rPr>
          <w:rFonts w:ascii="Arial" w:cs="Arial" w:eastAsia="Arial" w:hAnsi="Arial"/>
          <w:b/>
          <w:bCs/>
          <w:sz w:val="28"/>
          <w:szCs w:val="28"/>
        </w:rPr>
        <w:t xml:space="preserve">5.2 Go Technology Choices</w:t>
      </w:r>
    </w:p>
    <w:p>
      <w:pPr>
        <w:pStyle w:val="ListParagraph"/>
        <w:numPr>
          <w:ilvl w:val="0"/>
          <w:numId w:val="2"/>
        </w:numPr>
        <w:spacing w:after="60"/>
      </w:pPr>
      <w:r>
        <w:rPr>
          <w:rFonts w:ascii="Arial" w:cs="Arial" w:eastAsia="Arial" w:hAnsi="Arial"/>
          <w:sz w:val="20"/>
          <w:szCs w:val="20"/>
        </w:rPr>
        <w:t xml:space="preserve">HTTP Router: chi (github.com/go-chi/chi) or standard net/http</w:t>
      </w:r>
    </w:p>
    <w:p>
      <w:pPr>
        <w:pStyle w:val="ListParagraph"/>
        <w:numPr>
          <w:ilvl w:val="0"/>
          <w:numId w:val="2"/>
        </w:numPr>
        <w:spacing w:after="60"/>
      </w:pPr>
      <w:r>
        <w:rPr>
          <w:rFonts w:ascii="Arial" w:cs="Arial" w:eastAsia="Arial" w:hAnsi="Arial"/>
          <w:sz w:val="20"/>
          <w:szCs w:val="20"/>
        </w:rPr>
        <w:t xml:space="preserve">Database: sqlx (github.com/jmoiron/sqlx) + pgx driver</w:t>
      </w:r>
    </w:p>
    <w:p>
      <w:pPr>
        <w:pStyle w:val="ListParagraph"/>
        <w:numPr>
          <w:ilvl w:val="0"/>
          <w:numId w:val="2"/>
        </w:numPr>
        <w:spacing w:after="60"/>
      </w:pPr>
      <w:r>
        <w:rPr>
          <w:rFonts w:ascii="Arial" w:cs="Arial" w:eastAsia="Arial" w:hAnsi="Arial"/>
          <w:sz w:val="20"/>
          <w:szCs w:val="20"/>
        </w:rPr>
        <w:t xml:space="preserve">Kafka: confluent-kafka-go or segmentio/kafka-go</w:t>
      </w:r>
    </w:p>
    <w:p>
      <w:pPr>
        <w:pStyle w:val="ListParagraph"/>
        <w:numPr>
          <w:ilvl w:val="0"/>
          <w:numId w:val="2"/>
        </w:numPr>
        <w:spacing w:after="60"/>
      </w:pPr>
      <w:r>
        <w:rPr>
          <w:rFonts w:ascii="Arial" w:cs="Arial" w:eastAsia="Arial" w:hAnsi="Arial"/>
          <w:sz w:val="20"/>
          <w:szCs w:val="20"/>
        </w:rPr>
        <w:t xml:space="preserve">Testing: standard testing package + testify assertions</w:t>
      </w:r>
    </w:p>
    <w:p>
      <w:pPr>
        <w:pStyle w:val="ListParagraph"/>
        <w:numPr>
          <w:ilvl w:val="0"/>
          <w:numId w:val="2"/>
        </w:numPr>
        <w:spacing w:after="60"/>
      </w:pPr>
      <w:r>
        <w:rPr>
          <w:rFonts w:ascii="Arial" w:cs="Arial" w:eastAsia="Arial" w:hAnsi="Arial"/>
          <w:sz w:val="20"/>
          <w:szCs w:val="20"/>
        </w:rPr>
        <w:t xml:space="preserve">Config: envconfig or viper for environment variables</w:t>
      </w:r>
    </w:p>
    <w:p>
      <w:pPr>
        <w:pStyle w:val="ListParagraph"/>
        <w:numPr>
          <w:ilvl w:val="0"/>
          <w:numId w:val="2"/>
        </w:numPr>
        <w:spacing w:after="60"/>
      </w:pPr>
      <w:r>
        <w:rPr>
          <w:rFonts w:ascii="Arial" w:cs="Arial" w:eastAsia="Arial" w:hAnsi="Arial"/>
          <w:sz w:val="20"/>
          <w:szCs w:val="20"/>
        </w:rPr>
        <w:t xml:space="preserve">Logging: zerolog or slog (Go 1.21+ structured logging)</w:t>
      </w:r>
    </w:p>
    <w:p>
      <w:pPr>
        <w:pStyle w:val="ListParagraph"/>
        <w:numPr>
          <w:ilvl w:val="0"/>
          <w:numId w:val="2"/>
        </w:numPr>
        <w:spacing w:after="60"/>
      </w:pPr>
      <w:r>
        <w:rPr>
          <w:rFonts w:ascii="Arial" w:cs="Arial" w:eastAsia="Arial" w:hAnsi="Arial"/>
          <w:sz w:val="20"/>
          <w:szCs w:val="20"/>
        </w:rPr>
        <w:t xml:space="preserve">Migrations: golang-migrate/migrate</w:t>
      </w:r>
    </w:p>
    <w:p>
      <w:r>
        <w:br w:type="page"/>
      </w:r>
    </w:p>
    <w:p>
      <w:pPr>
        <w:pStyle w:val="Heading1"/>
      </w:pPr>
      <w:r>
        <w:rPr>
          <w:rFonts w:ascii="Arial" w:cs="Arial" w:eastAsia="Arial" w:hAnsi="Arial"/>
          <w:b/>
          <w:bCs/>
          <w:sz w:val="32"/>
          <w:szCs w:val="32"/>
        </w:rPr>
        <w:t xml:space="preserve">6. Porting Pipeline (6 Steps)</w:t>
      </w:r>
    </w:p>
    <w:p>
      <w:pPr>
        <w:spacing w:after="120"/>
      </w:pPr>
      <w:r>
        <w:rPr>
          <w:rFonts w:ascii="Arial" w:cs="Arial" w:eastAsia="Arial" w:hAnsi="Arial"/>
          <w:sz w:val="20"/>
          <w:szCs w:val="20"/>
        </w:rPr>
        <w:t xml:space="preserve">For every module you port, follow this 6-step pipeline in order. Do not skip steps.</w:t>
      </w:r>
    </w:p>
    <w:p>
      <w:pPr>
        <w:spacing w:after="60"/>
      </w:pPr>
    </w:p>
    <w:p>
      <w:pPr>
        <w:pStyle w:val="Heading3"/>
      </w:pPr>
      <w:r>
        <w:rPr>
          <w:rFonts w:ascii="Arial" w:cs="Arial" w:eastAsia="Arial" w:hAnsi="Arial"/>
          <w:b/>
          <w:bCs/>
          <w:sz w:val="24"/>
          <w:szCs w:val="24"/>
        </w:rPr>
        <w:t xml:space="preserve">Step 1: Extract</w:t>
      </w:r>
    </w:p>
    <w:p>
      <w:pPr>
        <w:spacing w:after="120"/>
      </w:pPr>
      <w:r>
        <w:rPr>
          <w:rFonts w:ascii="Arial" w:cs="Arial" w:eastAsia="Arial" w:hAnsi="Arial"/>
          <w:sz w:val="20"/>
          <w:szCs w:val="20"/>
        </w:rPr>
        <w:t xml:space="preserve">Identify the source module, map its API surface (endpoints, events consumed/produced, data models). Document business rules in plain English. Output: Business Logic Specification document.</w:t>
      </w:r>
    </w:p>
    <w:p>
      <w:pPr>
        <w:spacing w:after="60"/>
      </w:pPr>
    </w:p>
    <w:p>
      <w:pPr>
        <w:pStyle w:val="Heading3"/>
      </w:pPr>
      <w:r>
        <w:rPr>
          <w:rFonts w:ascii="Arial" w:cs="Arial" w:eastAsia="Arial" w:hAnsi="Arial"/>
          <w:b/>
          <w:bCs/>
          <w:sz w:val="24"/>
          <w:szCs w:val="24"/>
        </w:rPr>
        <w:t xml:space="preserve">Step 2: Specify</w:t>
      </w:r>
    </w:p>
    <w:p>
      <w:pPr>
        <w:spacing w:after="120"/>
      </w:pPr>
      <w:r>
        <w:rPr>
          <w:rFonts w:ascii="Arial" w:cs="Arial" w:eastAsia="Arial" w:hAnsi="Arial"/>
          <w:sz w:val="20"/>
          <w:szCs w:val="20"/>
        </w:rPr>
        <w:t xml:space="preserve">Define the Go service interface: HTTP endpoints, Kafka topics, PostgreSQL schema, gRPC contracts (if inter-service). Write OpenAPI spec. Output: Service Interface Contract.</w:t>
      </w:r>
    </w:p>
    <w:p>
      <w:pPr>
        <w:spacing w:after="60"/>
      </w:pPr>
    </w:p>
    <w:p>
      <w:pPr>
        <w:pStyle w:val="Heading3"/>
      </w:pPr>
      <w:r>
        <w:rPr>
          <w:rFonts w:ascii="Arial" w:cs="Arial" w:eastAsia="Arial" w:hAnsi="Arial"/>
          <w:b/>
          <w:bCs/>
          <w:sz w:val="24"/>
          <w:szCs w:val="24"/>
        </w:rPr>
        <w:t xml:space="preserve">Step 3: Translate</w:t>
      </w:r>
    </w:p>
    <w:p>
      <w:pPr>
        <w:spacing w:after="120"/>
      </w:pPr>
      <w:r>
        <w:rPr>
          <w:rFonts w:ascii="Arial" w:cs="Arial" w:eastAsia="Arial" w:hAnsi="Arial"/>
          <w:sz w:val="20"/>
          <w:szCs w:val="20"/>
        </w:rPr>
        <w:t xml:space="preserve">Use Claude/Codex to translate business logic from source language to Go. Apply the relevant translation pattern. Keep 1:1 behavioral equivalence. Output: Go source code with inline comments referencing original source.</w:t>
      </w:r>
    </w:p>
    <w:p>
      <w:pPr>
        <w:spacing w:after="60"/>
      </w:pPr>
    </w:p>
    <w:p>
      <w:pPr>
        <w:pStyle w:val="Heading3"/>
      </w:pPr>
      <w:r>
        <w:rPr>
          <w:rFonts w:ascii="Arial" w:cs="Arial" w:eastAsia="Arial" w:hAnsi="Arial"/>
          <w:b/>
          <w:bCs/>
          <w:sz w:val="24"/>
          <w:szCs w:val="24"/>
        </w:rPr>
        <w:t xml:space="preserve">Step 4: Test</w:t>
      </w:r>
    </w:p>
    <w:p>
      <w:pPr>
        <w:spacing w:after="120"/>
      </w:pPr>
      <w:r>
        <w:rPr>
          <w:rFonts w:ascii="Arial" w:cs="Arial" w:eastAsia="Arial" w:hAnsi="Arial"/>
          <w:sz w:val="20"/>
          <w:szCs w:val="20"/>
        </w:rPr>
        <w:t xml:space="preserve">Write Go unit tests achieving &gt;80% coverage. Write integration tests for Kafka/PostgreSQL interactions. Run behavioral equivalence tests comparing Go output to original service output for same inputs. Output: Test suite + coverage report.</w:t>
      </w:r>
    </w:p>
    <w:p>
      <w:pPr>
        <w:spacing w:after="60"/>
      </w:pPr>
    </w:p>
    <w:p>
      <w:pPr>
        <w:pStyle w:val="Heading3"/>
      </w:pPr>
      <w:r>
        <w:rPr>
          <w:rFonts w:ascii="Arial" w:cs="Arial" w:eastAsia="Arial" w:hAnsi="Arial"/>
          <w:b/>
          <w:bCs/>
          <w:sz w:val="24"/>
          <w:szCs w:val="24"/>
        </w:rPr>
        <w:t xml:space="preserve">Step 5: Integrate</w:t>
      </w:r>
    </w:p>
    <w:p>
      <w:pPr>
        <w:spacing w:after="120"/>
      </w:pPr>
      <w:r>
        <w:rPr>
          <w:rFonts w:ascii="Arial" w:cs="Arial" w:eastAsia="Arial" w:hAnsi="Arial"/>
          <w:sz w:val="20"/>
          <w:szCs w:val="20"/>
        </w:rPr>
        <w:t xml:space="preserve">Connect to shared infrastructure (Kafka, PostgreSQL, Redis). Register with phoenix-gateway. Verify inter-service communication. Run smoke tests in staging. Output: Deployed service in staging.</w:t>
      </w:r>
    </w:p>
    <w:p>
      <w:pPr>
        <w:spacing w:after="60"/>
      </w:pPr>
    </w:p>
    <w:p>
      <w:pPr>
        <w:pStyle w:val="Heading3"/>
      </w:pPr>
      <w:r>
        <w:rPr>
          <w:rFonts w:ascii="Arial" w:cs="Arial" w:eastAsia="Arial" w:hAnsi="Arial"/>
          <w:b/>
          <w:bCs/>
          <w:sz w:val="24"/>
          <w:szCs w:val="24"/>
        </w:rPr>
        <w:t xml:space="preserve">Step 6: Document</w:t>
      </w:r>
    </w:p>
    <w:p>
      <w:pPr>
        <w:spacing w:after="120"/>
      </w:pPr>
      <w:r>
        <w:rPr>
          <w:rFonts w:ascii="Arial" w:cs="Arial" w:eastAsia="Arial" w:hAnsi="Arial"/>
          <w:sz w:val="20"/>
          <w:szCs w:val="20"/>
        </w:rPr>
        <w:t xml:space="preserve">Generate compliance documentation (for regulated modules). Update service catalog. Write runbook. For DGE modules: produce Logic Mapping Matrix + Behavioral Equivalence Test Suite + Change Impact Assessment. Output: Compliance package + operational docs.</w:t>
      </w:r>
    </w:p>
    <w:p>
      <w:pPr>
        <w:spacing w:after="60"/>
      </w:pPr>
    </w:p>
    <w:p>
      <w:r>
        <w:br w:type="page"/>
      </w:r>
    </w:p>
    <w:p>
      <w:pPr>
        <w:pStyle w:val="Heading1"/>
      </w:pPr>
      <w:r>
        <w:rPr>
          <w:rFonts w:ascii="Arial" w:cs="Arial" w:eastAsia="Arial" w:hAnsi="Arial"/>
          <w:b/>
          <w:bCs/>
          <w:sz w:val="32"/>
          <w:szCs w:val="32"/>
        </w:rPr>
        <w:t xml:space="preserve">7. Build Order — 10 Phases, 36 Weeks</w:t>
      </w:r>
    </w:p>
    <w:p>
      <w:pPr>
        <w:spacing w:after="120"/>
      </w:pPr>
      <w:r>
        <w:rPr>
          <w:rFonts w:ascii="Arial" w:cs="Arial" w:eastAsia="Arial" w:hAnsi="Arial"/>
          <w:sz w:val="20"/>
          <w:szCs w:val="20"/>
        </w:rPr>
        <w:t xml:space="preserve">Follow this phase order. Dependencies are strict — do not start a phase before its prerequisites are complete.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900"/>
        <w:gridCol w:w="3200"/>
        <w:gridCol w:w="1400"/>
        <w:gridCol w:w="19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Services / Deliverables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phoenix-gateway, shared libraries, CI/CD, Docker templates, PostgreSQL/Redis/Kafka setup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subsequent phases depend on this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Betting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phoenix-market-engine, phoenix-betting-engine, phoenix-events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revenue-generating services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Money Flow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phoenix-wallet, phoenix-settlement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with Phase 2 after Week 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&amp; Compliance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phoenix-user, phoenix-compliance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DGE-regulated: requires compliance documentation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Stella Deploy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stella-engagement (deploy as microservice)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(Kafka)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existing Scala/Flink code, modernize Kafka schemas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 &amp; Analytics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phoenix-retention, phoenix-analytics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Phases 2, 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betting engine + Stella events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&amp; Notification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phoenix-social, phoenix-notification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Phases 2, 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Leaderboard algorithm from Flip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CMS &amp; Content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phoenix-cms (Go replacement for Strapi)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after Strapi deployed, complete before sunset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25-32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flows, load testing, security audit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Phases 1-8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services must pass integration tests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Readiness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DGE compliance review, production deploy, monitoring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phases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regulatory and operational readiness</w:t>
            </w:r>
          </w:p>
        </w:tc>
      </w:tr>
    </w:tbl>
    <w:p>
      <w:pPr>
        <w:spacing w:after="60"/>
      </w:pPr>
    </w:p>
    <w:p>
      <w:pPr>
        <w:pStyle w:val="Heading2"/>
      </w:pPr>
      <w:r>
        <w:rPr>
          <w:rFonts w:ascii="Arial" w:cs="Arial" w:eastAsia="Arial" w:hAnsi="Arial"/>
          <w:b/>
          <w:bCs/>
          <w:sz w:val="28"/>
          <w:szCs w:val="28"/>
        </w:rPr>
        <w:t xml:space="preserve">7.1 Phase 1 Details: Foundation (Weeks 1-4)</w:t>
      </w:r>
    </w:p>
    <w:p>
      <w:pPr>
        <w:spacing w:after="120"/>
      </w:pPr>
      <w:r>
        <w:rPr>
          <w:rFonts w:ascii="Arial" w:cs="Arial" w:eastAsia="Arial" w:hAnsi="Arial"/>
          <w:sz w:val="20"/>
          <w:szCs w:val="20"/>
        </w:rPr>
        <w:t xml:space="preserve">Phase 1 is the most critical. Everything depends on it. Deliverables:</w:t>
      </w:r>
    </w:p>
    <w:p>
      <w:pPr>
        <w:pStyle w:val="ListParagraph"/>
        <w:numPr>
          <w:ilvl w:val="0"/>
          <w:numId w:val="2"/>
        </w:numPr>
        <w:spacing w:after="60"/>
      </w:pPr>
      <w:r>
        <w:rPr>
          <w:rFonts w:ascii="Arial" w:cs="Arial" w:eastAsia="Arial" w:hAnsi="Arial"/>
          <w:sz w:val="20"/>
          <w:szCs w:val="20"/>
        </w:rPr>
        <w:t xml:space="preserve">phoenix-gateway: API gateway with JWT auth, rate limiting, request routing to downstream services</w:t>
      </w:r>
    </w:p>
    <w:p>
      <w:pPr>
        <w:pStyle w:val="ListParagraph"/>
        <w:numPr>
          <w:ilvl w:val="0"/>
          <w:numId w:val="2"/>
        </w:numPr>
        <w:spacing w:after="60"/>
      </w:pPr>
      <w:r>
        <w:rPr>
          <w:rFonts w:ascii="Arial" w:cs="Arial" w:eastAsia="Arial" w:hAnsi="Arial"/>
          <w:sz w:val="20"/>
          <w:szCs w:val="20"/>
        </w:rPr>
        <w:t xml:space="preserve">Shared Go libraries: common middleware, error handling, Kafka producer/consumer wrappers, PostgreSQL connection pools, health check endpoints</w:t>
      </w:r>
    </w:p>
    <w:p>
      <w:pPr>
        <w:pStyle w:val="ListParagraph"/>
        <w:numPr>
          <w:ilvl w:val="0"/>
          <w:numId w:val="2"/>
        </w:numPr>
        <w:spacing w:after="60"/>
      </w:pPr>
      <w:r>
        <w:rPr>
          <w:rFonts w:ascii="Arial" w:cs="Arial" w:eastAsia="Arial" w:hAnsi="Arial"/>
          <w:sz w:val="20"/>
          <w:szCs w:val="20"/>
        </w:rPr>
        <w:t xml:space="preserve">CI/CD pipeline: GitHub Actions or equivalent with build, test, lint, Docker push</w:t>
      </w:r>
    </w:p>
    <w:p>
      <w:pPr>
        <w:pStyle w:val="ListParagraph"/>
        <w:numPr>
          <w:ilvl w:val="0"/>
          <w:numId w:val="2"/>
        </w:numPr>
        <w:spacing w:after="60"/>
      </w:pPr>
      <w:r>
        <w:rPr>
          <w:rFonts w:ascii="Arial" w:cs="Arial" w:eastAsia="Arial" w:hAnsi="Arial"/>
          <w:sz w:val="20"/>
          <w:szCs w:val="20"/>
        </w:rPr>
        <w:t xml:space="preserve">Docker Compose: local development environment with all infrastructure (PostgreSQL, Redis, Kafka, Traefik)</w:t>
      </w:r>
    </w:p>
    <w:p>
      <w:pPr>
        <w:pStyle w:val="ListParagraph"/>
        <w:numPr>
          <w:ilvl w:val="0"/>
          <w:numId w:val="2"/>
        </w:numPr>
        <w:spacing w:after="60"/>
      </w:pPr>
      <w:r>
        <w:rPr>
          <w:rFonts w:ascii="Arial" w:cs="Arial" w:eastAsia="Arial" w:hAnsi="Arial"/>
          <w:sz w:val="20"/>
          <w:szCs w:val="20"/>
        </w:rPr>
        <w:t xml:space="preserve">Service template: cookiecutter/scaffold for creating new Go microservices with standard layout</w:t>
      </w:r>
    </w:p>
    <w:p>
      <w:pPr>
        <w:pStyle w:val="ListParagraph"/>
        <w:numPr>
          <w:ilvl w:val="0"/>
          <w:numId w:val="2"/>
        </w:numPr>
        <w:spacing w:after="60"/>
      </w:pPr>
      <w:r>
        <w:rPr>
          <w:rFonts w:ascii="Arial" w:cs="Arial" w:eastAsia="Arial" w:hAnsi="Arial"/>
          <w:sz w:val="20"/>
          <w:szCs w:val="20"/>
        </w:rPr>
        <w:t xml:space="preserve">Database migration framework: golang-migrate configured for each service</w:t>
      </w:r>
    </w:p>
    <w:p>
      <w:pPr>
        <w:spacing w:after="60"/>
      </w:pPr>
    </w:p>
    <w:p>
      <w:pPr>
        <w:pStyle w:val="Heading2"/>
      </w:pPr>
      <w:r>
        <w:rPr>
          <w:rFonts w:ascii="Arial" w:cs="Arial" w:eastAsia="Arial" w:hAnsi="Arial"/>
          <w:b/>
          <w:bCs/>
          <w:sz w:val="28"/>
          <w:szCs w:val="28"/>
        </w:rPr>
        <w:t xml:space="preserve">7.2 Phase 2 Details: Core Betting (Weeks 5-10)</w:t>
      </w:r>
    </w:p>
    <w:p>
      <w:pPr>
        <w:spacing w:after="120"/>
      </w:pPr>
      <w:r>
        <w:rPr>
          <w:rFonts w:ascii="Arial" w:cs="Arial" w:eastAsia="Arial" w:hAnsi="Arial"/>
          <w:sz w:val="20"/>
          <w:szCs w:val="20"/>
        </w:rPr>
        <w:t xml:space="preserve">Core revenue path. These three services handle the money-making flow:</w:t>
      </w:r>
    </w:p>
    <w:p>
      <w:pPr>
        <w:pStyle w:val="ListParagraph"/>
        <w:numPr>
          <w:ilvl w:val="0"/>
          <w:numId w:val="2"/>
        </w:numPr>
        <w:spacing w:after="60"/>
      </w:pPr>
      <w:r>
        <w:rPr>
          <w:rFonts w:ascii="Arial" w:cs="Arial" w:eastAsia="Arial" w:hAnsi="Arial"/>
          <w:sz w:val="20"/>
          <w:szCs w:val="20"/>
        </w:rPr>
        <w:t xml:space="preserve">phoenix-market-engine: Port pricing logic from SBTech Akka price pump + Phoenix market-service. Akka actors become goroutines managing market state. Akka persistence becomes PostgreSQL event store.</w:t>
      </w:r>
    </w:p>
    <w:p>
      <w:pPr>
        <w:pStyle w:val="ListParagraph"/>
        <w:numPr>
          <w:ilvl w:val="0"/>
          <w:numId w:val="2"/>
        </w:numPr>
        <w:spacing w:after="60"/>
      </w:pPr>
      <w:r>
        <w:rPr>
          <w:rFonts w:ascii="Arial" w:cs="Arial" w:eastAsia="Arial" w:hAnsi="Arial"/>
          <w:sz w:val="20"/>
          <w:szCs w:val="20"/>
        </w:rPr>
        <w:t xml:space="preserve">phoenix-betting-engine: Port bet placement/validation from Phoenix betting-service + GSTech betting engine. Focus on bet slip validation, odds locking, risk checks.</w:t>
      </w:r>
    </w:p>
    <w:p>
      <w:pPr>
        <w:pStyle w:val="ListParagraph"/>
        <w:numPr>
          <w:ilvl w:val="0"/>
          <w:numId w:val="2"/>
        </w:numPr>
        <w:spacing w:after="60"/>
      </w:pPr>
      <w:r>
        <w:rPr>
          <w:rFonts w:ascii="Arial" w:cs="Arial" w:eastAsia="Arial" w:hAnsi="Arial"/>
          <w:sz w:val="20"/>
          <w:szCs w:val="20"/>
        </w:rPr>
        <w:t xml:space="preserve">phoenix-events: Port event catalog from Phoenix events-service + GSTech events. Event scheduling, result entry, live data feed consumption.</w:t>
      </w:r>
    </w:p>
    <w:p>
      <w:pPr>
        <w:spacing w:after="60"/>
      </w:pPr>
    </w:p>
    <w:p>
      <w:pPr>
        <w:pStyle w:val="Heading2"/>
      </w:pPr>
      <w:r>
        <w:rPr>
          <w:rFonts w:ascii="Arial" w:cs="Arial" w:eastAsia="Arial" w:hAnsi="Arial"/>
          <w:b/>
          <w:bCs/>
          <w:sz w:val="28"/>
          <w:szCs w:val="28"/>
        </w:rPr>
        <w:t xml:space="preserve">7.3 Phase 5 Details: Stella Deploy (Weeks 5-8)</w:t>
      </w:r>
    </w:p>
    <w:p>
      <w:pPr>
        <w:spacing w:after="120"/>
      </w:pPr>
      <w:r>
        <w:rPr>
          <w:rFonts w:ascii="Arial" w:cs="Arial" w:eastAsia="Arial" w:hAnsi="Arial"/>
          <w:sz w:val="20"/>
          <w:szCs w:val="20"/>
        </w:rPr>
        <w:t xml:space="preserve">Stella is the ONE exception to the Go directive. Deploy the existing Scala/Flink platform as a microservice:</w:t>
      </w:r>
    </w:p>
    <w:p>
      <w:pPr>
        <w:pStyle w:val="ListParagraph"/>
        <w:numPr>
          <w:ilvl w:val="0"/>
          <w:numId w:val="2"/>
        </w:numPr>
        <w:spacing w:after="60"/>
      </w:pPr>
      <w:r>
        <w:rPr>
          <w:rFonts w:ascii="Arial" w:cs="Arial" w:eastAsia="Arial" w:hAnsi="Arial"/>
          <w:sz w:val="20"/>
          <w:szCs w:val="20"/>
        </w:rPr>
        <w:t xml:space="preserve">Deploy gmx-waysun event ingestor, rule configurator, wallet, and achievement engine as containerized services</w:t>
      </w:r>
    </w:p>
    <w:p>
      <w:pPr>
        <w:pStyle w:val="ListParagraph"/>
        <w:numPr>
          <w:ilvl w:val="0"/>
          <w:numId w:val="2"/>
        </w:numPr>
        <w:spacing w:after="60"/>
      </w:pPr>
      <w:r>
        <w:rPr>
          <w:rFonts w:ascii="Arial" w:cs="Arial" w:eastAsia="Arial" w:hAnsi="Arial"/>
          <w:sz w:val="20"/>
          <w:szCs w:val="20"/>
        </w:rPr>
        <w:t xml:space="preserve">Modernize Kafka schemas to align with Phoenix topic naming conventions (phoenix.{domain}.{event})</w:t>
      </w:r>
    </w:p>
    <w:p>
      <w:pPr>
        <w:pStyle w:val="ListParagraph"/>
        <w:numPr>
          <w:ilvl w:val="0"/>
          <w:numId w:val="2"/>
        </w:numPr>
        <w:spacing w:after="60"/>
      </w:pPr>
      <w:r>
        <w:rPr>
          <w:rFonts w:ascii="Arial" w:cs="Arial" w:eastAsia="Arial" w:hAnsi="Arial"/>
          <w:sz w:val="20"/>
          <w:szCs w:val="20"/>
        </w:rPr>
        <w:t xml:space="preserve">Connect to shared PostgreSQL instance (separate schema: stella_*)</w:t>
      </w:r>
    </w:p>
    <w:p>
      <w:pPr>
        <w:pStyle w:val="ListParagraph"/>
        <w:numPr>
          <w:ilvl w:val="0"/>
          <w:numId w:val="2"/>
        </w:numPr>
        <w:spacing w:after="60"/>
      </w:pPr>
      <w:r>
        <w:rPr>
          <w:rFonts w:ascii="Arial" w:cs="Arial" w:eastAsia="Arial" w:hAnsi="Arial"/>
          <w:sz w:val="20"/>
          <w:szCs w:val="20"/>
        </w:rPr>
        <w:t xml:space="preserve">Expose REST API for phoenix-retention to trigger campaigns/achievements</w:t>
      </w:r>
    </w:p>
    <w:p>
      <w:pPr>
        <w:pStyle w:val="ListParagraph"/>
        <w:numPr>
          <w:ilvl w:val="0"/>
          <w:numId w:val="2"/>
        </w:numPr>
        <w:spacing w:after="60"/>
      </w:pPr>
      <w:r>
        <w:rPr>
          <w:rFonts w:ascii="Arial" w:cs="Arial" w:eastAsia="Arial" w:hAnsi="Arial"/>
          <w:sz w:val="20"/>
          <w:szCs w:val="20"/>
        </w:rPr>
        <w:t xml:space="preserve">Run: make waysun-rule-configurator-migrate &amp;&amp; make waysun-wallet-migrate &amp;&amp; make waysun-rule-configurator-run &amp;&amp; make waysun-wallet-run &amp;&amp; make waysun-event-ingestor-run</w:t>
      </w:r>
    </w:p>
    <w:p>
      <w:r>
        <w:br w:type="page"/>
      </w:r>
    </w:p>
    <w:p>
      <w:pPr>
        <w:pStyle w:val="Heading1"/>
      </w:pPr>
      <w:r>
        <w:rPr>
          <w:rFonts w:ascii="Arial" w:cs="Arial" w:eastAsia="Arial" w:hAnsi="Arial"/>
          <w:b/>
          <w:bCs/>
          <w:sz w:val="32"/>
          <w:szCs w:val="32"/>
        </w:rPr>
        <w:t xml:space="preserve">8. Compliance Documentation (DGE-Regulated Modules)</w:t>
      </w:r>
    </w:p>
    <w:p>
      <w:pPr>
        <w:spacing w:after="120"/>
      </w:pPr>
      <w:r>
        <w:rPr>
          <w:rFonts w:ascii="Arial" w:cs="Arial" w:eastAsia="Arial" w:hAnsi="Arial"/>
          <w:sz w:val="20"/>
          <w:szCs w:val="20"/>
        </w:rPr>
        <w:t xml:space="preserve">For any module that falls under NJ DGE regulation (AML, responsible gaming, state compliance, settlement), you MUST generate compliance documentation alongside the code. This is not optional.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Documentation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Code References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AML/KYC (phoenix-compliance)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Logic Mapping Matrix showing how existing AML rules map to Go implementation. Behavioral Equivalence Test Suite proving identical detection rates. Change Impact Assessment for each rule modification.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(compliance), /Users/johnb/Desktop/Phase 4/GSTech/gstech-compliance, /Users/johnb/Desktop/Phase 4/RMX/rmx-aml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Responsible Gaming (phoenix-compliance)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Self-exclusion logic mapping, deposit limit equivalence tests, cool-off period behavioral tests. Must demonstrate feature parity with NJ DGE-approved implementation.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(responsible-gaming modules)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Compliance (phoenix-compliance)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Per-state rule engine mapping, geo-fencing equivalence, tax calculation verification. Separate compliance package per regulated state.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(state-rules)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Settlement/Audit (phoenix-settlement)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completeness verification, reconciliation logic mapping, financial accuracy tests.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/Users/johnb/Desktop/PhoenixBotRevival/phoenix-core (settlement-service)</w:t>
            </w:r>
          </w:p>
        </w:tc>
      </w:tr>
    </w:tbl>
    <w:p>
      <w:pPr>
        <w:spacing w:after="60"/>
      </w:pPr>
    </w:p>
    <w:p>
      <w:pPr>
        <w:pStyle w:val="Heading2"/>
      </w:pPr>
      <w:r>
        <w:rPr>
          <w:rFonts w:ascii="Arial" w:cs="Arial" w:eastAsia="Arial" w:hAnsi="Arial"/>
          <w:b/>
          <w:bCs/>
          <w:sz w:val="28"/>
          <w:szCs w:val="28"/>
        </w:rPr>
        <w:t xml:space="preserve">8.1 Compliance Document Templates</w:t>
      </w:r>
    </w:p>
    <w:p>
      <w:pPr>
        <w:spacing w:after="60"/>
      </w:pPr>
    </w:p>
    <w:p>
      <w:pPr>
        <w:spacing w:after="120"/>
      </w:pPr>
      <w:r>
        <w:rPr>
          <w:rFonts w:ascii="Arial" w:cs="Arial" w:eastAsia="Arial" w:hAnsi="Arial"/>
          <w:b/>
          <w:bCs/>
          <w:sz w:val="20"/>
          <w:szCs w:val="20"/>
        </w:rPr>
        <w:t xml:space="preserve">Logic Mapping Matrix (per regulated function):</w:t>
      </w:r>
    </w:p>
    <w:p>
      <w:pPr>
        <w:pStyle w:val="ListParagraph"/>
        <w:numPr>
          <w:ilvl w:val="0"/>
          <w:numId w:val="2"/>
        </w:numPr>
        <w:spacing w:after="60"/>
      </w:pPr>
      <w:r>
        <w:rPr>
          <w:rFonts w:ascii="Arial" w:cs="Arial" w:eastAsia="Arial" w:hAnsi="Arial"/>
          <w:sz w:val="20"/>
          <w:szCs w:val="20"/>
        </w:rPr>
        <w:t xml:space="preserve">Column A: Original function name + file location in source codebase</w:t>
      </w:r>
    </w:p>
    <w:p>
      <w:pPr>
        <w:pStyle w:val="ListParagraph"/>
        <w:numPr>
          <w:ilvl w:val="0"/>
          <w:numId w:val="2"/>
        </w:numPr>
        <w:spacing w:after="60"/>
      </w:pPr>
      <w:r>
        <w:rPr>
          <w:rFonts w:ascii="Arial" w:cs="Arial" w:eastAsia="Arial" w:hAnsi="Arial"/>
          <w:sz w:val="20"/>
          <w:szCs w:val="20"/>
        </w:rPr>
        <w:t xml:space="preserve">Column B: Business rule in plain English</w:t>
      </w:r>
    </w:p>
    <w:p>
      <w:pPr>
        <w:pStyle w:val="ListParagraph"/>
        <w:numPr>
          <w:ilvl w:val="0"/>
          <w:numId w:val="2"/>
        </w:numPr>
        <w:spacing w:after="60"/>
      </w:pPr>
      <w:r>
        <w:rPr>
          <w:rFonts w:ascii="Arial" w:cs="Arial" w:eastAsia="Arial" w:hAnsi="Arial"/>
          <w:sz w:val="20"/>
          <w:szCs w:val="20"/>
        </w:rPr>
        <w:t xml:space="preserve">Column C: New Go function name + file location</w:t>
      </w:r>
    </w:p>
    <w:p>
      <w:pPr>
        <w:pStyle w:val="ListParagraph"/>
        <w:numPr>
          <w:ilvl w:val="0"/>
          <w:numId w:val="2"/>
        </w:numPr>
        <w:spacing w:after="60"/>
      </w:pPr>
      <w:r>
        <w:rPr>
          <w:rFonts w:ascii="Arial" w:cs="Arial" w:eastAsia="Arial" w:hAnsi="Arial"/>
          <w:sz w:val="20"/>
          <w:szCs w:val="20"/>
        </w:rPr>
        <w:t xml:space="preserve">Column D: Test case proving behavioral equivalence</w:t>
      </w:r>
    </w:p>
    <w:p>
      <w:pPr>
        <w:pStyle w:val="ListParagraph"/>
        <w:numPr>
          <w:ilvl w:val="0"/>
          <w:numId w:val="2"/>
        </w:numPr>
        <w:spacing w:after="60"/>
      </w:pPr>
      <w:r>
        <w:rPr>
          <w:rFonts w:ascii="Arial" w:cs="Arial" w:eastAsia="Arial" w:hAnsi="Arial"/>
          <w:sz w:val="20"/>
          <w:szCs w:val="20"/>
        </w:rPr>
        <w:t xml:space="preserve">Column E: Reviewer sign-off status</w:t>
      </w:r>
    </w:p>
    <w:p>
      <w:pPr>
        <w:spacing w:after="60"/>
      </w:pPr>
    </w:p>
    <w:p>
      <w:pPr>
        <w:spacing w:after="120"/>
      </w:pPr>
      <w:r>
        <w:rPr>
          <w:rFonts w:ascii="Arial" w:cs="Arial" w:eastAsia="Arial" w:hAnsi="Arial"/>
          <w:b/>
          <w:bCs/>
          <w:sz w:val="20"/>
          <w:szCs w:val="20"/>
        </w:rPr>
        <w:t xml:space="preserve">Behavioral Equivalence Test Suite:</w:t>
      </w:r>
    </w:p>
    <w:p>
      <w:pPr>
        <w:pStyle w:val="ListParagraph"/>
        <w:numPr>
          <w:ilvl w:val="0"/>
          <w:numId w:val="2"/>
        </w:numPr>
        <w:spacing w:after="60"/>
      </w:pPr>
      <w:r>
        <w:rPr>
          <w:rFonts w:ascii="Arial" w:cs="Arial" w:eastAsia="Arial" w:hAnsi="Arial"/>
          <w:sz w:val="20"/>
          <w:szCs w:val="20"/>
        </w:rPr>
        <w:t xml:space="preserve">For each regulated function: provide identical inputs to both old and new code</w:t>
      </w:r>
    </w:p>
    <w:p>
      <w:pPr>
        <w:pStyle w:val="ListParagraph"/>
        <w:numPr>
          <w:ilvl w:val="0"/>
          <w:numId w:val="2"/>
        </w:numPr>
        <w:spacing w:after="60"/>
      </w:pPr>
      <w:r>
        <w:rPr>
          <w:rFonts w:ascii="Arial" w:cs="Arial" w:eastAsia="Arial" w:hAnsi="Arial"/>
          <w:sz w:val="20"/>
          <w:szCs w:val="20"/>
        </w:rPr>
        <w:t xml:space="preserve">Assert identical outputs (or document acceptable deviations with justification)</w:t>
      </w:r>
    </w:p>
    <w:p>
      <w:pPr>
        <w:pStyle w:val="ListParagraph"/>
        <w:numPr>
          <w:ilvl w:val="0"/>
          <w:numId w:val="2"/>
        </w:numPr>
        <w:spacing w:after="60"/>
      </w:pPr>
      <w:r>
        <w:rPr>
          <w:rFonts w:ascii="Arial" w:cs="Arial" w:eastAsia="Arial" w:hAnsi="Arial"/>
          <w:sz w:val="20"/>
          <w:szCs w:val="20"/>
        </w:rPr>
        <w:t xml:space="preserve">Include edge cases: boundary values, error conditions, race conditions</w:t>
      </w:r>
    </w:p>
    <w:p>
      <w:pPr>
        <w:pStyle w:val="ListParagraph"/>
        <w:numPr>
          <w:ilvl w:val="0"/>
          <w:numId w:val="2"/>
        </w:numPr>
        <w:spacing w:after="60"/>
      </w:pPr>
      <w:r>
        <w:rPr>
          <w:rFonts w:ascii="Arial" w:cs="Arial" w:eastAsia="Arial" w:hAnsi="Arial"/>
          <w:sz w:val="20"/>
          <w:szCs w:val="20"/>
        </w:rPr>
        <w:t xml:space="preserve">Minimum 50 test cases per regulated module</w:t>
      </w:r>
    </w:p>
    <w:p>
      <w:pPr>
        <w:spacing w:after="60"/>
      </w:pPr>
    </w:p>
    <w:p>
      <w:pPr>
        <w:spacing w:after="120"/>
      </w:pPr>
      <w:r>
        <w:rPr>
          <w:rFonts w:ascii="Arial" w:cs="Arial" w:eastAsia="Arial" w:hAnsi="Arial"/>
          <w:b/>
          <w:bCs/>
          <w:sz w:val="20"/>
          <w:szCs w:val="20"/>
        </w:rPr>
        <w:t xml:space="preserve">Change Impact Assessment:</w:t>
      </w:r>
    </w:p>
    <w:p>
      <w:pPr>
        <w:pStyle w:val="ListParagraph"/>
        <w:numPr>
          <w:ilvl w:val="0"/>
          <w:numId w:val="2"/>
        </w:numPr>
        <w:spacing w:after="60"/>
      </w:pPr>
      <w:r>
        <w:rPr>
          <w:rFonts w:ascii="Arial" w:cs="Arial" w:eastAsia="Arial" w:hAnsi="Arial"/>
          <w:sz w:val="20"/>
          <w:szCs w:val="20"/>
        </w:rPr>
        <w:t xml:space="preserve">List every rule/threshold that differs from the DGE-approved implementation</w:t>
      </w:r>
    </w:p>
    <w:p>
      <w:pPr>
        <w:pStyle w:val="ListParagraph"/>
        <w:numPr>
          <w:ilvl w:val="0"/>
          <w:numId w:val="2"/>
        </w:numPr>
        <w:spacing w:after="60"/>
      </w:pPr>
      <w:r>
        <w:rPr>
          <w:rFonts w:ascii="Arial" w:cs="Arial" w:eastAsia="Arial" w:hAnsi="Arial"/>
          <w:sz w:val="20"/>
          <w:szCs w:val="20"/>
        </w:rPr>
        <w:t xml:space="preserve">For each difference: explain why, provide risk assessment, propose mitigation</w:t>
      </w:r>
    </w:p>
    <w:p>
      <w:pPr>
        <w:pStyle w:val="ListParagraph"/>
        <w:numPr>
          <w:ilvl w:val="0"/>
          <w:numId w:val="2"/>
        </w:numPr>
        <w:spacing w:after="60"/>
      </w:pPr>
      <w:r>
        <w:rPr>
          <w:rFonts w:ascii="Arial" w:cs="Arial" w:eastAsia="Arial" w:hAnsi="Arial"/>
          <w:sz w:val="20"/>
          <w:szCs w:val="20"/>
        </w:rPr>
        <w:t xml:space="preserve">Flag any differences that require DGE re-approval</w:t>
      </w:r>
    </w:p>
    <w:p>
      <w:r>
        <w:br w:type="page"/>
      </w:r>
    </w:p>
    <w:p>
      <w:pPr>
        <w:pStyle w:val="Heading1"/>
      </w:pPr>
      <w:r>
        <w:rPr>
          <w:rFonts w:ascii="Arial" w:cs="Arial" w:eastAsia="Arial" w:hAnsi="Arial"/>
          <w:b/>
          <w:bCs/>
          <w:sz w:val="32"/>
          <w:szCs w:val="32"/>
        </w:rPr>
        <w:t xml:space="preserve">9. Infrastructure Setup</w:t>
      </w:r>
    </w:p>
    <w:p>
      <w:pPr>
        <w:spacing w:after="120"/>
      </w:pPr>
      <w:r>
        <w:rPr>
          <w:rFonts w:ascii="Arial" w:cs="Arial" w:eastAsia="Arial" w:hAnsi="Arial"/>
          <w:sz w:val="20"/>
          <w:szCs w:val="20"/>
        </w:rPr>
        <w:t xml:space="preserve">Set up the following infrastructure before starting any microservice development. Use Docker for local development.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Setup Command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datastore for all services. Each microservice owns its schema (database-per-service pattern). Use pgx driver in Go.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run -d --name phoenix-pg -p 5432:5432 -e POSTGRES_PASSWORD=phoenix postgres:15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 session store, rate limiting, real-time leaderboards.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run -d --name phoenix-redis -p 6379:6379 redis:7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Kafka 3.x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bus for inter-service communication. Each service publishes domain events to its own topic.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docker-compose from gmx-infrastructure/gmx-traefik or Confluent Platform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Traefik 2.x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gateway/reverse proxy for local development. Routes to individual microservices.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config at /Users/johnb/Desktop/PhoenixBotRevival/gmx-infrastructure/gmx-traefik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 orchestration for local development. Each microservice has its own Dockerfile.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docker-compose.yml at project root with all 14 services</w:t>
            </w:r>
          </w:p>
        </w:tc>
      </w:tr>
    </w:tbl>
    <w:p>
      <w:pPr>
        <w:spacing w:after="60"/>
      </w:pPr>
    </w:p>
    <w:p>
      <w:pPr>
        <w:pStyle w:val="Heading2"/>
      </w:pPr>
      <w:r>
        <w:rPr>
          <w:rFonts w:ascii="Arial" w:cs="Arial" w:eastAsia="Arial" w:hAnsi="Arial"/>
          <w:b/>
          <w:bCs/>
          <w:sz w:val="28"/>
          <w:szCs w:val="28"/>
        </w:rPr>
        <w:t xml:space="preserve">9.1 Existing Infrastructure Bootstrap</w:t>
      </w:r>
    </w:p>
    <w:p>
      <w:pPr>
        <w:spacing w:after="120"/>
      </w:pPr>
      <w:r>
        <w:rPr>
          <w:rFonts w:ascii="Arial" w:cs="Arial" w:eastAsia="Arial" w:hAnsi="Arial"/>
          <w:sz w:val="20"/>
          <w:szCs w:val="20"/>
        </w:rPr>
        <w:t xml:space="preserve">The PhoenixBotRevival workspace includes a pre-configured infrastructure bootstrap:</w:t>
      </w:r>
    </w:p>
    <w:p>
      <w:pPr>
        <w:pStyle w:val="ListParagraph"/>
        <w:numPr>
          <w:ilvl w:val="0"/>
          <w:numId w:val="2"/>
        </w:numPr>
        <w:spacing w:after="60"/>
      </w:pPr>
      <w:r>
        <w:rPr>
          <w:rFonts w:ascii="Arial" w:cs="Arial" w:eastAsia="Arial" w:hAnsi="Arial"/>
          <w:sz w:val="20"/>
          <w:szCs w:val="20"/>
        </w:rPr>
        <w:t xml:space="preserve">Traefik + PostgreSQL + Redis + Kafka: /Users/johnb/Desktop/PhoenixBotRevival/gmx-infrastructure/gmx-traefik</w:t>
      </w:r>
    </w:p>
    <w:p>
      <w:pPr>
        <w:pStyle w:val="ListParagraph"/>
        <w:numPr>
          <w:ilvl w:val="0"/>
          <w:numId w:val="2"/>
        </w:numPr>
        <w:spacing w:after="60"/>
      </w:pPr>
      <w:r>
        <w:rPr>
          <w:rFonts w:ascii="Arial" w:cs="Arial" w:eastAsia="Arial" w:hAnsi="Arial"/>
          <w:sz w:val="20"/>
          <w:szCs w:val="20"/>
        </w:rPr>
        <w:t xml:space="preserve">NiFi flow definitions: /Users/johnb/Desktop/PhoenixBotRevival/gmx-infrastructure/gmx-nifi</w:t>
      </w:r>
    </w:p>
    <w:p>
      <w:pPr>
        <w:pStyle w:val="ListParagraph"/>
        <w:numPr>
          <w:ilvl w:val="0"/>
          <w:numId w:val="2"/>
        </w:numPr>
        <w:spacing w:after="60"/>
      </w:pPr>
      <w:r>
        <w:rPr>
          <w:rFonts w:ascii="Arial" w:cs="Arial" w:eastAsia="Arial" w:hAnsi="Arial"/>
          <w:sz w:val="20"/>
          <w:szCs w:val="20"/>
        </w:rPr>
        <w:t xml:space="preserve">NiFi REST bridge: /Users/johnb/Desktop/PhoenixBotRevival/gmx-infrastructure/gmx-nifi-rest (needs refactor: hardcoded legacy endpoints)</w:t>
      </w:r>
    </w:p>
    <w:p>
      <w:pPr>
        <w:pStyle w:val="ListParagraph"/>
        <w:numPr>
          <w:ilvl w:val="0"/>
          <w:numId w:val="2"/>
        </w:numPr>
        <w:spacing w:after="60"/>
      </w:pPr>
      <w:r>
        <w:rPr>
          <w:rFonts w:ascii="Arial" w:cs="Arial" w:eastAsia="Arial" w:hAnsi="Arial"/>
          <w:sz w:val="20"/>
          <w:szCs w:val="20"/>
        </w:rPr>
        <w:t xml:space="preserve">Unified Makefile: /Users/johnb/Desktop/PhoenixBotRevival/Makefile (run make infra-up to start shared infra)</w:t>
      </w:r>
    </w:p>
    <w:p>
      <w:pPr>
        <w:pStyle w:val="ListParagraph"/>
        <w:numPr>
          <w:ilvl w:val="0"/>
          <w:numId w:val="2"/>
        </w:numPr>
        <w:spacing w:after="60"/>
      </w:pPr>
      <w:r>
        <w:rPr>
          <w:rFonts w:ascii="Arial" w:cs="Arial" w:eastAsia="Arial" w:hAnsi="Arial"/>
          <w:sz w:val="20"/>
          <w:szCs w:val="20"/>
        </w:rPr>
        <w:t xml:space="preserve">Service catalog: /Users/johnb/Desktop/PhoenixBotRevival/workspace/services.yaml</w:t>
      </w:r>
    </w:p>
    <w:p>
      <w:pPr>
        <w:spacing w:after="60"/>
      </w:pPr>
    </w:p>
    <w:p>
      <w:pPr>
        <w:pStyle w:val="Heading2"/>
      </w:pPr>
      <w:r>
        <w:rPr>
          <w:rFonts w:ascii="Arial" w:cs="Arial" w:eastAsia="Arial" w:hAnsi="Arial"/>
          <w:b/>
          <w:bCs/>
          <w:sz w:val="28"/>
          <w:szCs w:val="28"/>
        </w:rPr>
        <w:t xml:space="preserve">9.2 Kafka Topic Naming Convention</w:t>
      </w:r>
    </w:p>
    <w:p>
      <w:pPr>
        <w:spacing w:after="120"/>
      </w:pPr>
      <w:r>
        <w:rPr>
          <w:rFonts w:ascii="Arial" w:cs="Arial" w:eastAsia="Arial" w:hAnsi="Arial"/>
          <w:sz w:val="20"/>
          <w:szCs w:val="20"/>
        </w:rPr>
        <w:t xml:space="preserve">All Phoenix microservices must use this topic naming pattern:</w:t>
      </w:r>
    </w:p>
    <w:p>
      <w:pPr>
        <w:spacing w:after="60"/>
      </w:pPr>
    </w:p>
    <w:p>
      <w:pPr>
        <w:spacing w:after="60"/>
      </w:pPr>
      <w:r>
        <w:rPr>
          <w:rFonts w:ascii="Courier New" w:cs="Courier New" w:eastAsia="Courier New" w:hAnsi="Courier New"/>
          <w:sz w:val="20"/>
          <w:szCs w:val="20"/>
        </w:rPr>
        <w:t xml:space="preserve">  phoenix.{domain}.{event-type}</w:t>
      </w:r>
    </w:p>
    <w:p>
      <w:pPr>
        <w:spacing w:after="60"/>
      </w:pPr>
    </w:p>
    <w:p>
      <w:pPr>
        <w:spacing w:after="120"/>
      </w:pPr>
      <w:r>
        <w:rPr>
          <w:rFonts w:ascii="Arial" w:cs="Arial" w:eastAsia="Arial" w:hAnsi="Arial"/>
          <w:sz w:val="20"/>
          <w:szCs w:val="20"/>
        </w:rPr>
        <w:t xml:space="preserve">Examples:</w:t>
      </w:r>
    </w:p>
    <w:p>
      <w:pPr>
        <w:pStyle w:val="ListParagraph"/>
        <w:numPr>
          <w:ilvl w:val="0"/>
          <w:numId w:val="2"/>
        </w:numPr>
        <w:spacing w:after="60"/>
      </w:pPr>
      <w:r>
        <w:rPr>
          <w:rFonts w:ascii="Arial" w:cs="Arial" w:eastAsia="Arial" w:hAnsi="Arial"/>
          <w:sz w:val="20"/>
          <w:szCs w:val="20"/>
        </w:rPr>
        <w:t xml:space="preserve">phoenix.betting.bet-placed</w:t>
      </w:r>
    </w:p>
    <w:p>
      <w:pPr>
        <w:pStyle w:val="ListParagraph"/>
        <w:numPr>
          <w:ilvl w:val="0"/>
          <w:numId w:val="2"/>
        </w:numPr>
        <w:spacing w:after="60"/>
      </w:pPr>
      <w:r>
        <w:rPr>
          <w:rFonts w:ascii="Arial" w:cs="Arial" w:eastAsia="Arial" w:hAnsi="Arial"/>
          <w:sz w:val="20"/>
          <w:szCs w:val="20"/>
        </w:rPr>
        <w:t xml:space="preserve">phoenix.market.odds-updated</w:t>
      </w:r>
    </w:p>
    <w:p>
      <w:pPr>
        <w:pStyle w:val="ListParagraph"/>
        <w:numPr>
          <w:ilvl w:val="0"/>
          <w:numId w:val="2"/>
        </w:numPr>
        <w:spacing w:after="60"/>
      </w:pPr>
      <w:r>
        <w:rPr>
          <w:rFonts w:ascii="Arial" w:cs="Arial" w:eastAsia="Arial" w:hAnsi="Arial"/>
          <w:sz w:val="20"/>
          <w:szCs w:val="20"/>
        </w:rPr>
        <w:t xml:space="preserve">phoenix.wallet.deposit-completed</w:t>
      </w:r>
    </w:p>
    <w:p>
      <w:pPr>
        <w:pStyle w:val="ListParagraph"/>
        <w:numPr>
          <w:ilvl w:val="0"/>
          <w:numId w:val="2"/>
        </w:numPr>
        <w:spacing w:after="60"/>
      </w:pPr>
      <w:r>
        <w:rPr>
          <w:rFonts w:ascii="Arial" w:cs="Arial" w:eastAsia="Arial" w:hAnsi="Arial"/>
          <w:sz w:val="20"/>
          <w:szCs w:val="20"/>
        </w:rPr>
        <w:t xml:space="preserve">phoenix.user.registration-completed</w:t>
      </w:r>
    </w:p>
    <w:p>
      <w:pPr>
        <w:pStyle w:val="ListParagraph"/>
        <w:numPr>
          <w:ilvl w:val="0"/>
          <w:numId w:val="2"/>
        </w:numPr>
        <w:spacing w:after="60"/>
      </w:pPr>
      <w:r>
        <w:rPr>
          <w:rFonts w:ascii="Arial" w:cs="Arial" w:eastAsia="Arial" w:hAnsi="Arial"/>
          <w:sz w:val="20"/>
          <w:szCs w:val="20"/>
        </w:rPr>
        <w:t xml:space="preserve">phoenix.compliance.aml-alert-triggered</w:t>
      </w:r>
    </w:p>
    <w:p>
      <w:pPr>
        <w:pStyle w:val="ListParagraph"/>
        <w:numPr>
          <w:ilvl w:val="0"/>
          <w:numId w:val="2"/>
        </w:numPr>
        <w:spacing w:after="60"/>
      </w:pPr>
      <w:r>
        <w:rPr>
          <w:rFonts w:ascii="Arial" w:cs="Arial" w:eastAsia="Arial" w:hAnsi="Arial"/>
          <w:sz w:val="20"/>
          <w:szCs w:val="20"/>
        </w:rPr>
        <w:t xml:space="preserve">stella.engagement.achievement-unlocked (Stella uses stella.* prefix)</w:t>
      </w:r>
    </w:p>
    <w:p>
      <w:r>
        <w:br w:type="page"/>
      </w:r>
    </w:p>
    <w:p>
      <w:pPr>
        <w:pStyle w:val="Heading1"/>
      </w:pPr>
      <w:r>
        <w:rPr>
          <w:rFonts w:ascii="Arial" w:cs="Arial" w:eastAsia="Arial" w:hAnsi="Arial"/>
          <w:b/>
          <w:bCs/>
          <w:sz w:val="32"/>
          <w:szCs w:val="32"/>
        </w:rPr>
        <w:t xml:space="preserve">10. Testing Requirements</w:t>
      </w:r>
    </w:p>
    <w:p>
      <w:pPr>
        <w:spacing w:after="60"/>
      </w:pPr>
    </w:p>
    <w:p>
      <w:pPr>
        <w:pStyle w:val="Heading2"/>
      </w:pPr>
      <w:r>
        <w:rPr>
          <w:rFonts w:ascii="Arial" w:cs="Arial" w:eastAsia="Arial" w:hAnsi="Arial"/>
          <w:b/>
          <w:bCs/>
          <w:sz w:val="28"/>
          <w:szCs w:val="28"/>
        </w:rPr>
        <w:t xml:space="preserve">10.1 Per-Service Testing</w:t>
      </w:r>
    </w:p>
    <w:p>
      <w:pPr>
        <w:pStyle w:val="ListParagraph"/>
        <w:numPr>
          <w:ilvl w:val="0"/>
          <w:numId w:val="2"/>
        </w:numPr>
        <w:spacing w:after="60"/>
      </w:pPr>
      <w:r>
        <w:rPr>
          <w:rFonts w:ascii="Arial" w:cs="Arial" w:eastAsia="Arial" w:hAnsi="Arial"/>
          <w:sz w:val="20"/>
          <w:szCs w:val="20"/>
        </w:rPr>
        <w:t xml:space="preserve">Unit tests: &gt;80% code coverage on business logic (domain + service layers)</w:t>
      </w:r>
    </w:p>
    <w:p>
      <w:pPr>
        <w:pStyle w:val="ListParagraph"/>
        <w:numPr>
          <w:ilvl w:val="0"/>
          <w:numId w:val="2"/>
        </w:numPr>
        <w:spacing w:after="60"/>
      </w:pPr>
      <w:r>
        <w:rPr>
          <w:rFonts w:ascii="Arial" w:cs="Arial" w:eastAsia="Arial" w:hAnsi="Arial"/>
          <w:sz w:val="20"/>
          <w:szCs w:val="20"/>
        </w:rPr>
        <w:t xml:space="preserve">Integration tests: Kafka produce/consume round-trips, PostgreSQL CRUD operations</w:t>
      </w:r>
    </w:p>
    <w:p>
      <w:pPr>
        <w:pStyle w:val="ListParagraph"/>
        <w:numPr>
          <w:ilvl w:val="0"/>
          <w:numId w:val="2"/>
        </w:numPr>
        <w:spacing w:after="60"/>
      </w:pPr>
      <w:r>
        <w:rPr>
          <w:rFonts w:ascii="Arial" w:cs="Arial" w:eastAsia="Arial" w:hAnsi="Arial"/>
          <w:sz w:val="20"/>
          <w:szCs w:val="20"/>
        </w:rPr>
        <w:t xml:space="preserve">API tests: HTTP endpoint contracts match OpenAPI spec</w:t>
      </w:r>
    </w:p>
    <w:p>
      <w:pPr>
        <w:pStyle w:val="ListParagraph"/>
        <w:numPr>
          <w:ilvl w:val="0"/>
          <w:numId w:val="2"/>
        </w:numPr>
        <w:spacing w:after="60"/>
      </w:pPr>
      <w:r>
        <w:rPr>
          <w:rFonts w:ascii="Arial" w:cs="Arial" w:eastAsia="Arial" w:hAnsi="Arial"/>
          <w:sz w:val="20"/>
          <w:szCs w:val="20"/>
        </w:rPr>
        <w:t xml:space="preserve">Use Go standard testing + testify for assertions</w:t>
      </w:r>
    </w:p>
    <w:p>
      <w:pPr>
        <w:pStyle w:val="ListParagraph"/>
        <w:numPr>
          <w:ilvl w:val="0"/>
          <w:numId w:val="2"/>
        </w:numPr>
        <w:spacing w:after="60"/>
      </w:pPr>
      <w:r>
        <w:rPr>
          <w:rFonts w:ascii="Arial" w:cs="Arial" w:eastAsia="Arial" w:hAnsi="Arial"/>
          <w:sz w:val="20"/>
          <w:szCs w:val="20"/>
        </w:rPr>
        <w:t xml:space="preserve">Use testcontainers-go for integration tests with real PostgreSQL/Kafka/Redis</w:t>
      </w:r>
    </w:p>
    <w:p>
      <w:pPr>
        <w:spacing w:after="60"/>
      </w:pPr>
    </w:p>
    <w:p>
      <w:pPr>
        <w:pStyle w:val="Heading2"/>
      </w:pPr>
      <w:r>
        <w:rPr>
          <w:rFonts w:ascii="Arial" w:cs="Arial" w:eastAsia="Arial" w:hAnsi="Arial"/>
          <w:b/>
          <w:bCs/>
          <w:sz w:val="28"/>
          <w:szCs w:val="28"/>
        </w:rPr>
        <w:t xml:space="preserve">10.2 Cross-Service Testing (Phase 9)</w:t>
      </w:r>
    </w:p>
    <w:p>
      <w:pPr>
        <w:pStyle w:val="ListParagraph"/>
        <w:numPr>
          <w:ilvl w:val="0"/>
          <w:numId w:val="2"/>
        </w:numPr>
        <w:spacing w:after="60"/>
      </w:pPr>
      <w:r>
        <w:rPr>
          <w:rFonts w:ascii="Arial" w:cs="Arial" w:eastAsia="Arial" w:hAnsi="Arial"/>
          <w:sz w:val="20"/>
          <w:szCs w:val="20"/>
        </w:rPr>
        <w:t xml:space="preserve">End-to-end bet flow: user registration → deposit → market browse → bet placement → settlement → withdrawal</w:t>
      </w:r>
    </w:p>
    <w:p>
      <w:pPr>
        <w:pStyle w:val="ListParagraph"/>
        <w:numPr>
          <w:ilvl w:val="0"/>
          <w:numId w:val="2"/>
        </w:numPr>
        <w:spacing w:after="60"/>
      </w:pPr>
      <w:r>
        <w:rPr>
          <w:rFonts w:ascii="Arial" w:cs="Arial" w:eastAsia="Arial" w:hAnsi="Arial"/>
          <w:sz w:val="20"/>
          <w:szCs w:val="20"/>
        </w:rPr>
        <w:t xml:space="preserve">Load testing: 1000+ concurrent bet placements</w:t>
      </w:r>
    </w:p>
    <w:p>
      <w:pPr>
        <w:pStyle w:val="ListParagraph"/>
        <w:numPr>
          <w:ilvl w:val="0"/>
          <w:numId w:val="2"/>
        </w:numPr>
        <w:spacing w:after="60"/>
      </w:pPr>
      <w:r>
        <w:rPr>
          <w:rFonts w:ascii="Arial" w:cs="Arial" w:eastAsia="Arial" w:hAnsi="Arial"/>
          <w:sz w:val="20"/>
          <w:szCs w:val="20"/>
        </w:rPr>
        <w:t xml:space="preserve">Chaos testing: service failures, Kafka lag, database timeouts</w:t>
      </w:r>
    </w:p>
    <w:p>
      <w:pPr>
        <w:pStyle w:val="ListParagraph"/>
        <w:numPr>
          <w:ilvl w:val="0"/>
          <w:numId w:val="2"/>
        </w:numPr>
        <w:spacing w:after="60"/>
      </w:pPr>
      <w:r>
        <w:rPr>
          <w:rFonts w:ascii="Arial" w:cs="Arial" w:eastAsia="Arial" w:hAnsi="Arial"/>
          <w:sz w:val="20"/>
          <w:szCs w:val="20"/>
        </w:rPr>
        <w:t xml:space="preserve">Security audit: OWASP top 10, JWT validation, SQL injection prevention</w:t>
      </w:r>
    </w:p>
    <w:p>
      <w:pPr>
        <w:spacing w:after="60"/>
      </w:pPr>
    </w:p>
    <w:p>
      <w:pPr>
        <w:pStyle w:val="Heading2"/>
      </w:pPr>
      <w:r>
        <w:rPr>
          <w:rFonts w:ascii="Arial" w:cs="Arial" w:eastAsia="Arial" w:hAnsi="Arial"/>
          <w:b/>
          <w:bCs/>
          <w:sz w:val="28"/>
          <w:szCs w:val="28"/>
        </w:rPr>
        <w:t xml:space="preserve">10.3 Behavioral Equivalence Testing (Regulated Modules)</w:t>
      </w:r>
    </w:p>
    <w:p>
      <w:pPr>
        <w:spacing w:after="120"/>
      </w:pPr>
      <w:r>
        <w:rPr>
          <w:rFonts w:ascii="Arial" w:cs="Arial" w:eastAsia="Arial" w:hAnsi="Arial"/>
          <w:sz w:val="20"/>
          <w:szCs w:val="20"/>
        </w:rPr>
        <w:t xml:space="preserve">For AML, responsible gaming, and state compliance modules, run the original code and new Go code with identical inputs and verify identical outputs. Document all test results in the compliance package.</w:t>
      </w:r>
    </w:p>
    <w:p>
      <w:r>
        <w:br w:type="page"/>
      </w:r>
    </w:p>
    <w:p>
      <w:pPr>
        <w:pStyle w:val="Heading1"/>
      </w:pPr>
      <w:r>
        <w:rPr>
          <w:rFonts w:ascii="Arial" w:cs="Arial" w:eastAsia="Arial" w:hAnsi="Arial"/>
          <w:b/>
          <w:bCs/>
          <w:sz w:val="32"/>
          <w:szCs w:val="32"/>
        </w:rPr>
        <w:t xml:space="preserve">11. Quick Reference — Service-by-Service Instructions</w:t>
      </w:r>
    </w:p>
    <w:p>
      <w:pPr>
        <w:spacing w:after="60"/>
      </w:pPr>
    </w:p>
    <w:p>
      <w:pPr>
        <w:pStyle w:val="Heading2"/>
      </w:pPr>
      <w:r>
        <w:rPr>
          <w:rFonts w:ascii="Arial" w:cs="Arial" w:eastAsia="Arial" w:hAnsi="Arial"/>
          <w:b/>
          <w:bCs/>
          <w:sz w:val="28"/>
          <w:szCs w:val="28"/>
        </w:rPr>
        <w:t xml:space="preserve">phoenix-gateway</w:t>
      </w:r>
    </w:p>
    <w:p>
      <w:pPr>
        <w:spacing w:after="120"/>
      </w:pPr>
      <w:r>
        <w:rPr>
          <w:rFonts w:ascii="Arial" w:cs="Arial" w:eastAsia="Arial" w:hAnsi="Arial"/>
          <w:sz w:val="20"/>
          <w:szCs w:val="20"/>
        </w:rPr>
        <w:t xml:space="preserve">Phase: 1 (Weeks 1-4)</w:t>
      </w:r>
    </w:p>
    <w:p>
      <w:pPr>
        <w:spacing w:after="120"/>
      </w:pPr>
      <w:r>
        <w:rPr>
          <w:rFonts w:ascii="Arial" w:cs="Arial" w:eastAsia="Arial" w:hAnsi="Arial"/>
          <w:sz w:val="20"/>
          <w:szCs w:val="20"/>
        </w:rPr>
        <w:t xml:space="preserve">Source: /Users/johnb/Desktop/PhoenixBotRevival/phoenix-core (gateway module), /Users/johnb/Desktop/Phase 4/GSTech/gstech-api-gateway</w:t>
      </w:r>
    </w:p>
    <w:p>
      <w:pPr>
        <w:spacing w:after="120"/>
      </w:pPr>
      <w:r>
        <w:rPr>
          <w:rFonts w:ascii="Arial" w:cs="Arial" w:eastAsia="Arial" w:hAnsi="Arial"/>
          <w:sz w:val="20"/>
          <w:szCs w:val="20"/>
        </w:rPr>
        <w:t xml:space="preserve">Translation Pattern: Express.js Routes → Go net/http + chi router</w:t>
      </w:r>
    </w:p>
    <w:p>
      <w:pPr>
        <w:spacing w:after="120"/>
      </w:pPr>
      <w:r>
        <w:rPr>
          <w:rFonts w:ascii="Arial" w:cs="Arial" w:eastAsia="Arial" w:hAnsi="Arial"/>
          <w:b/>
          <w:bCs/>
          <w:sz w:val="20"/>
          <w:szCs w:val="20"/>
        </w:rPr>
        <w:t xml:space="preserve">Steps:</w:t>
      </w:r>
    </w:p>
    <w:p>
      <w:pPr>
        <w:pStyle w:val="ListParagraph"/>
        <w:numPr>
          <w:ilvl w:val="0"/>
          <w:numId w:val="3"/>
        </w:numPr>
        <w:spacing w:after="60"/>
      </w:pPr>
      <w:r>
        <w:rPr>
          <w:rFonts w:ascii="Arial" w:cs="Arial" w:eastAsia="Arial" w:hAnsi="Arial"/>
          <w:sz w:val="20"/>
          <w:szCs w:val="20"/>
        </w:rPr>
        <w:t xml:space="preserve">Extract route definitions and middleware from Express gateway</w:t>
      </w:r>
    </w:p>
    <w:p>
      <w:pPr>
        <w:pStyle w:val="ListParagraph"/>
        <w:numPr>
          <w:ilvl w:val="0"/>
          <w:numId w:val="3"/>
        </w:numPr>
        <w:spacing w:after="60"/>
      </w:pPr>
      <w:r>
        <w:rPr>
          <w:rFonts w:ascii="Arial" w:cs="Arial" w:eastAsia="Arial" w:hAnsi="Arial"/>
          <w:sz w:val="20"/>
          <w:szCs w:val="20"/>
        </w:rPr>
        <w:t xml:space="preserve">Map authentication flow (JWT validation, token refresh)</w:t>
      </w:r>
    </w:p>
    <w:p>
      <w:pPr>
        <w:pStyle w:val="ListParagraph"/>
        <w:numPr>
          <w:ilvl w:val="0"/>
          <w:numId w:val="3"/>
        </w:numPr>
        <w:spacing w:after="60"/>
      </w:pPr>
      <w:r>
        <w:rPr>
          <w:rFonts w:ascii="Arial" w:cs="Arial" w:eastAsia="Arial" w:hAnsi="Arial"/>
          <w:sz w:val="20"/>
          <w:szCs w:val="20"/>
        </w:rPr>
        <w:t xml:space="preserve">Implement rate limiting with Redis-backed sliding window</w:t>
      </w:r>
    </w:p>
    <w:p>
      <w:pPr>
        <w:pStyle w:val="ListParagraph"/>
        <w:numPr>
          <w:ilvl w:val="0"/>
          <w:numId w:val="3"/>
        </w:numPr>
        <w:spacing w:after="60"/>
      </w:pPr>
      <w:r>
        <w:rPr>
          <w:rFonts w:ascii="Arial" w:cs="Arial" w:eastAsia="Arial" w:hAnsi="Arial"/>
          <w:sz w:val="20"/>
          <w:szCs w:val="20"/>
        </w:rPr>
        <w:t xml:space="preserve">Configure Traefik integration for service discovery</w:t>
      </w:r>
    </w:p>
    <w:p>
      <w:pPr>
        <w:pStyle w:val="ListParagraph"/>
        <w:numPr>
          <w:ilvl w:val="0"/>
          <w:numId w:val="3"/>
        </w:numPr>
        <w:spacing w:after="60"/>
      </w:pPr>
      <w:r>
        <w:rPr>
          <w:rFonts w:ascii="Arial" w:cs="Arial" w:eastAsia="Arial" w:hAnsi="Arial"/>
          <w:sz w:val="20"/>
          <w:szCs w:val="20"/>
        </w:rPr>
        <w:t xml:space="preserve">Add health check endpoints (/health, /ready) for each downstream service</w:t>
      </w:r>
    </w:p>
    <w:p>
      <w:pPr>
        <w:spacing w:after="60"/>
      </w:pPr>
    </w:p>
    <w:p>
      <w:pPr>
        <w:pStyle w:val="Heading2"/>
      </w:pPr>
      <w:r>
        <w:rPr>
          <w:rFonts w:ascii="Arial" w:cs="Arial" w:eastAsia="Arial" w:hAnsi="Arial"/>
          <w:b/>
          <w:bCs/>
          <w:sz w:val="28"/>
          <w:szCs w:val="28"/>
        </w:rPr>
        <w:t xml:space="preserve">phoenix-market-engine</w:t>
      </w:r>
    </w:p>
    <w:p>
      <w:pPr>
        <w:spacing w:after="120"/>
      </w:pPr>
      <w:r>
        <w:rPr>
          <w:rFonts w:ascii="Arial" w:cs="Arial" w:eastAsia="Arial" w:hAnsi="Arial"/>
          <w:sz w:val="20"/>
          <w:szCs w:val="20"/>
        </w:rPr>
        <w:t xml:space="preserve">Phase: 2 (Weeks 5-10)</w:t>
      </w:r>
    </w:p>
    <w:p>
      <w:pPr>
        <w:spacing w:after="120"/>
      </w:pPr>
      <w:r>
        <w:rPr>
          <w:rFonts w:ascii="Arial" w:cs="Arial" w:eastAsia="Arial" w:hAnsi="Arial"/>
          <w:sz w:val="20"/>
          <w:szCs w:val="20"/>
        </w:rPr>
        <w:t xml:space="preserve">Source: /Users/johnb/Desktop/PhoenixBotRevival/phoenix-core (market-service, pricing), /Users/johnb/Desktop/PhoenixBotRevival/sbtech-integration/sbt-price-pump, /Users/johnb/Desktop/Phase 4/SBTech/sbtech-akka-prices-pump</w:t>
      </w:r>
    </w:p>
    <w:p>
      <w:pPr>
        <w:spacing w:after="120"/>
      </w:pPr>
      <w:r>
        <w:rPr>
          <w:rFonts w:ascii="Arial" w:cs="Arial" w:eastAsia="Arial" w:hAnsi="Arial"/>
          <w:sz w:val="20"/>
          <w:szCs w:val="20"/>
        </w:rPr>
        <w:t xml:space="preserve">Translation Pattern: Akka Actors → goroutines + channels; Akka Persistence → PostgreSQL event store</w:t>
      </w:r>
    </w:p>
    <w:p>
      <w:pPr>
        <w:spacing w:after="120"/>
      </w:pPr>
      <w:r>
        <w:rPr>
          <w:rFonts w:ascii="Arial" w:cs="Arial" w:eastAsia="Arial" w:hAnsi="Arial"/>
          <w:b/>
          <w:bCs/>
          <w:sz w:val="20"/>
          <w:szCs w:val="20"/>
        </w:rPr>
        <w:t xml:space="preserve">Steps:</w:t>
      </w:r>
    </w:p>
    <w:p>
      <w:pPr>
        <w:pStyle w:val="ListParagraph"/>
        <w:numPr>
          <w:ilvl w:val="0"/>
          <w:numId w:val="3"/>
        </w:numPr>
        <w:spacing w:after="60"/>
      </w:pPr>
      <w:r>
        <w:rPr>
          <w:rFonts w:ascii="Arial" w:cs="Arial" w:eastAsia="Arial" w:hAnsi="Arial"/>
          <w:sz w:val="20"/>
          <w:szCs w:val="20"/>
        </w:rPr>
        <w:t xml:space="preserve">Extract market state machine from Akka actor hierarchy</w:t>
      </w:r>
    </w:p>
    <w:p>
      <w:pPr>
        <w:pStyle w:val="ListParagraph"/>
        <w:numPr>
          <w:ilvl w:val="0"/>
          <w:numId w:val="3"/>
        </w:numPr>
        <w:spacing w:after="60"/>
      </w:pPr>
      <w:r>
        <w:rPr>
          <w:rFonts w:ascii="Arial" w:cs="Arial" w:eastAsia="Arial" w:hAnsi="Arial"/>
          <w:sz w:val="20"/>
          <w:szCs w:val="20"/>
        </w:rPr>
        <w:t xml:space="preserve">Map Akka persistence events to Go event store schema</w:t>
      </w:r>
    </w:p>
    <w:p>
      <w:pPr>
        <w:pStyle w:val="ListParagraph"/>
        <w:numPr>
          <w:ilvl w:val="0"/>
          <w:numId w:val="3"/>
        </w:numPr>
        <w:spacing w:after="60"/>
      </w:pPr>
      <w:r>
        <w:rPr>
          <w:rFonts w:ascii="Arial" w:cs="Arial" w:eastAsia="Arial" w:hAnsi="Arial"/>
          <w:sz w:val="20"/>
          <w:szCs w:val="20"/>
        </w:rPr>
        <w:t xml:space="preserve">Port price pump logic from SBTech adapters</w:t>
      </w:r>
    </w:p>
    <w:p>
      <w:pPr>
        <w:pStyle w:val="ListParagraph"/>
        <w:numPr>
          <w:ilvl w:val="0"/>
          <w:numId w:val="3"/>
        </w:numPr>
        <w:spacing w:after="60"/>
      </w:pPr>
      <w:r>
        <w:rPr>
          <w:rFonts w:ascii="Arial" w:cs="Arial" w:eastAsia="Arial" w:hAnsi="Arial"/>
          <w:sz w:val="20"/>
          <w:szCs w:val="20"/>
        </w:rPr>
        <w:t xml:space="preserve">Implement odds calculation engine in Go</w:t>
      </w:r>
    </w:p>
    <w:p>
      <w:pPr>
        <w:pStyle w:val="ListParagraph"/>
        <w:numPr>
          <w:ilvl w:val="0"/>
          <w:numId w:val="3"/>
        </w:numPr>
        <w:spacing w:after="60"/>
      </w:pPr>
      <w:r>
        <w:rPr>
          <w:rFonts w:ascii="Arial" w:cs="Arial" w:eastAsia="Arial" w:hAnsi="Arial"/>
          <w:sz w:val="20"/>
          <w:szCs w:val="20"/>
        </w:rPr>
        <w:t xml:space="preserve">Set up Kafka producer for phoenix.market.* events</w:t>
      </w:r>
    </w:p>
    <w:p>
      <w:pPr>
        <w:spacing w:after="60"/>
      </w:pPr>
    </w:p>
    <w:p>
      <w:pPr>
        <w:pStyle w:val="Heading2"/>
      </w:pPr>
      <w:r>
        <w:rPr>
          <w:rFonts w:ascii="Arial" w:cs="Arial" w:eastAsia="Arial" w:hAnsi="Arial"/>
          <w:b/>
          <w:bCs/>
          <w:sz w:val="28"/>
          <w:szCs w:val="28"/>
        </w:rPr>
        <w:t xml:space="preserve">phoenix-betting-engine</w:t>
      </w:r>
    </w:p>
    <w:p>
      <w:pPr>
        <w:spacing w:after="120"/>
      </w:pPr>
      <w:r>
        <w:rPr>
          <w:rFonts w:ascii="Arial" w:cs="Arial" w:eastAsia="Arial" w:hAnsi="Arial"/>
          <w:sz w:val="20"/>
          <w:szCs w:val="20"/>
        </w:rPr>
        <w:t xml:space="preserve">Phase: 2 (Weeks 5-10)</w:t>
      </w:r>
    </w:p>
    <w:p>
      <w:pPr>
        <w:spacing w:after="120"/>
      </w:pPr>
      <w:r>
        <w:rPr>
          <w:rFonts w:ascii="Arial" w:cs="Arial" w:eastAsia="Arial" w:hAnsi="Arial"/>
          <w:sz w:val="20"/>
          <w:szCs w:val="20"/>
        </w:rPr>
        <w:t xml:space="preserve">Source: /Users/johnb/Desktop/PhoenixBotRevival/phoenix-core (betting-service, risk), /Users/johnb/Desktop/Phase 4/GSTech/gstech-betting-engine</w:t>
      </w:r>
    </w:p>
    <w:p>
      <w:pPr>
        <w:spacing w:after="120"/>
      </w:pPr>
      <w:r>
        <w:rPr>
          <w:rFonts w:ascii="Arial" w:cs="Arial" w:eastAsia="Arial" w:hAnsi="Arial"/>
          <w:sz w:val="20"/>
          <w:szCs w:val="20"/>
        </w:rPr>
        <w:t xml:space="preserve">Translation Pattern: Akka Actors → goroutines + channels; Express Routes → Go HTTP handlers</w:t>
      </w:r>
    </w:p>
    <w:p>
      <w:pPr>
        <w:spacing w:after="120"/>
      </w:pPr>
      <w:r>
        <w:rPr>
          <w:rFonts w:ascii="Arial" w:cs="Arial" w:eastAsia="Arial" w:hAnsi="Arial"/>
          <w:b/>
          <w:bCs/>
          <w:sz w:val="20"/>
          <w:szCs w:val="20"/>
        </w:rPr>
        <w:t xml:space="preserve">Steps:</w:t>
      </w:r>
    </w:p>
    <w:p>
      <w:pPr>
        <w:pStyle w:val="ListParagraph"/>
        <w:numPr>
          <w:ilvl w:val="0"/>
          <w:numId w:val="3"/>
        </w:numPr>
        <w:spacing w:after="60"/>
      </w:pPr>
      <w:r>
        <w:rPr>
          <w:rFonts w:ascii="Arial" w:cs="Arial" w:eastAsia="Arial" w:hAnsi="Arial"/>
          <w:sz w:val="20"/>
          <w:szCs w:val="20"/>
        </w:rPr>
        <w:t xml:space="preserve">Extract bet validation rules and risk checks</w:t>
      </w:r>
    </w:p>
    <w:p>
      <w:pPr>
        <w:pStyle w:val="ListParagraph"/>
        <w:numPr>
          <w:ilvl w:val="0"/>
          <w:numId w:val="3"/>
        </w:numPr>
        <w:spacing w:after="60"/>
      </w:pPr>
      <w:r>
        <w:rPr>
          <w:rFonts w:ascii="Arial" w:cs="Arial" w:eastAsia="Arial" w:hAnsi="Arial"/>
          <w:sz w:val="20"/>
          <w:szCs w:val="20"/>
        </w:rPr>
        <w:t xml:space="preserve">Port bet slip processing logic (multi-leg, singles, system bets)</w:t>
      </w:r>
    </w:p>
    <w:p>
      <w:pPr>
        <w:pStyle w:val="ListParagraph"/>
        <w:numPr>
          <w:ilvl w:val="0"/>
          <w:numId w:val="3"/>
        </w:numPr>
        <w:spacing w:after="60"/>
      </w:pPr>
      <w:r>
        <w:rPr>
          <w:rFonts w:ascii="Arial" w:cs="Arial" w:eastAsia="Arial" w:hAnsi="Arial"/>
          <w:sz w:val="20"/>
          <w:szCs w:val="20"/>
        </w:rPr>
        <w:t xml:space="preserve">Implement odds locking mechanism with optimistic concurrency</w:t>
      </w:r>
    </w:p>
    <w:p>
      <w:pPr>
        <w:pStyle w:val="ListParagraph"/>
        <w:numPr>
          <w:ilvl w:val="0"/>
          <w:numId w:val="3"/>
        </w:numPr>
        <w:spacing w:after="60"/>
      </w:pPr>
      <w:r>
        <w:rPr>
          <w:rFonts w:ascii="Arial" w:cs="Arial" w:eastAsia="Arial" w:hAnsi="Arial"/>
          <w:sz w:val="20"/>
          <w:szCs w:val="20"/>
        </w:rPr>
        <w:t xml:space="preserve">Set up Kafka consumer for market events, producer for bet events</w:t>
      </w:r>
    </w:p>
    <w:p>
      <w:pPr>
        <w:pStyle w:val="ListParagraph"/>
        <w:numPr>
          <w:ilvl w:val="0"/>
          <w:numId w:val="3"/>
        </w:numPr>
        <w:spacing w:after="60"/>
      </w:pPr>
      <w:r>
        <w:rPr>
          <w:rFonts w:ascii="Arial" w:cs="Arial" w:eastAsia="Arial" w:hAnsi="Arial"/>
          <w:sz w:val="20"/>
          <w:szCs w:val="20"/>
        </w:rPr>
        <w:t xml:space="preserve">Build settlement trigger listener (consumes phoenix.events.result-entered)</w:t>
      </w:r>
    </w:p>
    <w:p>
      <w:pPr>
        <w:spacing w:after="60"/>
      </w:pPr>
    </w:p>
    <w:p>
      <w:pPr>
        <w:pStyle w:val="Heading2"/>
      </w:pPr>
      <w:r>
        <w:rPr>
          <w:rFonts w:ascii="Arial" w:cs="Arial" w:eastAsia="Arial" w:hAnsi="Arial"/>
          <w:b/>
          <w:bCs/>
          <w:sz w:val="28"/>
          <w:szCs w:val="28"/>
        </w:rPr>
        <w:t xml:space="preserve">phoenix-wallet</w:t>
      </w:r>
    </w:p>
    <w:p>
      <w:pPr>
        <w:spacing w:after="120"/>
      </w:pPr>
      <w:r>
        <w:rPr>
          <w:rFonts w:ascii="Arial" w:cs="Arial" w:eastAsia="Arial" w:hAnsi="Arial"/>
          <w:sz w:val="20"/>
          <w:szCs w:val="20"/>
        </w:rPr>
        <w:t xml:space="preserve">Phase: 3 (Weeks 7-12)</w:t>
      </w:r>
    </w:p>
    <w:p>
      <w:pPr>
        <w:spacing w:after="120"/>
      </w:pPr>
      <w:r>
        <w:rPr>
          <w:rFonts w:ascii="Arial" w:cs="Arial" w:eastAsia="Arial" w:hAnsi="Arial"/>
          <w:sz w:val="20"/>
          <w:szCs w:val="20"/>
        </w:rPr>
        <w:t xml:space="preserve">Source: /Users/johnb/Desktop/PhoenixBotRevival/gmx-waysun (waysun-wallet), /Users/johnb/Desktop/Phase 4/GSTech/gstech-wallet-service, /Users/johnb/Desktop/Phase 4/RMX/rmx-payments</w:t>
      </w:r>
    </w:p>
    <w:p>
      <w:pPr>
        <w:spacing w:after="120"/>
      </w:pPr>
      <w:r>
        <w:rPr>
          <w:rFonts w:ascii="Arial" w:cs="Arial" w:eastAsia="Arial" w:hAnsi="Arial"/>
          <w:sz w:val="20"/>
          <w:szCs w:val="20"/>
        </w:rPr>
        <w:t xml:space="preserve">Translation Pattern: Django ORM → Go sqlx; Express Routes → Go HTTP handlers</w:t>
      </w:r>
    </w:p>
    <w:p>
      <w:pPr>
        <w:spacing w:after="120"/>
      </w:pPr>
      <w:r>
        <w:rPr>
          <w:rFonts w:ascii="Arial" w:cs="Arial" w:eastAsia="Arial" w:hAnsi="Arial"/>
          <w:b/>
          <w:bCs/>
          <w:sz w:val="20"/>
          <w:szCs w:val="20"/>
        </w:rPr>
        <w:t xml:space="preserve">Steps:</w:t>
      </w:r>
    </w:p>
    <w:p>
      <w:pPr>
        <w:pStyle w:val="ListParagraph"/>
        <w:numPr>
          <w:ilvl w:val="0"/>
          <w:numId w:val="3"/>
        </w:numPr>
        <w:spacing w:after="60"/>
      </w:pPr>
      <w:r>
        <w:rPr>
          <w:rFonts w:ascii="Arial" w:cs="Arial" w:eastAsia="Arial" w:hAnsi="Arial"/>
          <w:sz w:val="20"/>
          <w:szCs w:val="20"/>
        </w:rPr>
        <w:t xml:space="preserve">Extract wallet ledger schema and transaction types</w:t>
      </w:r>
    </w:p>
    <w:p>
      <w:pPr>
        <w:pStyle w:val="ListParagraph"/>
        <w:numPr>
          <w:ilvl w:val="0"/>
          <w:numId w:val="3"/>
        </w:numPr>
        <w:spacing w:after="60"/>
      </w:pPr>
      <w:r>
        <w:rPr>
          <w:rFonts w:ascii="Arial" w:cs="Arial" w:eastAsia="Arial" w:hAnsi="Arial"/>
          <w:sz w:val="20"/>
          <w:szCs w:val="20"/>
        </w:rPr>
        <w:t xml:space="preserve">Port deposit/withdrawal flows from GSTech + RMX</w:t>
      </w:r>
    </w:p>
    <w:p>
      <w:pPr>
        <w:pStyle w:val="ListParagraph"/>
        <w:numPr>
          <w:ilvl w:val="0"/>
          <w:numId w:val="3"/>
        </w:numPr>
        <w:spacing w:after="60"/>
      </w:pPr>
      <w:r>
        <w:rPr>
          <w:rFonts w:ascii="Arial" w:cs="Arial" w:eastAsia="Arial" w:hAnsi="Arial"/>
          <w:sz w:val="20"/>
          <w:szCs w:val="20"/>
        </w:rPr>
        <w:t xml:space="preserve">Implement double-entry bookkeeping pattern in Go</w:t>
      </w:r>
    </w:p>
    <w:p>
      <w:pPr>
        <w:pStyle w:val="ListParagraph"/>
        <w:numPr>
          <w:ilvl w:val="0"/>
          <w:numId w:val="3"/>
        </w:numPr>
        <w:spacing w:after="60"/>
      </w:pPr>
      <w:r>
        <w:rPr>
          <w:rFonts w:ascii="Arial" w:cs="Arial" w:eastAsia="Arial" w:hAnsi="Arial"/>
          <w:sz w:val="20"/>
          <w:szCs w:val="20"/>
        </w:rPr>
        <w:t xml:space="preserve">Add Kafka events for all balance changes (phoenix.wallet.*)</w:t>
      </w:r>
    </w:p>
    <w:p>
      <w:pPr>
        <w:pStyle w:val="ListParagraph"/>
        <w:numPr>
          <w:ilvl w:val="0"/>
          <w:numId w:val="3"/>
        </w:numPr>
        <w:spacing w:after="60"/>
      </w:pPr>
      <w:r>
        <w:rPr>
          <w:rFonts w:ascii="Arial" w:cs="Arial" w:eastAsia="Arial" w:hAnsi="Arial"/>
          <w:sz w:val="20"/>
          <w:szCs w:val="20"/>
        </w:rPr>
        <w:t xml:space="preserve">Integrate with phoenix-compliance for AML transaction monitoring</w:t>
      </w:r>
    </w:p>
    <w:p>
      <w:pPr>
        <w:spacing w:after="60"/>
      </w:pPr>
    </w:p>
    <w:p>
      <w:pPr>
        <w:pStyle w:val="Heading2"/>
      </w:pPr>
      <w:r>
        <w:rPr>
          <w:rFonts w:ascii="Arial" w:cs="Arial" w:eastAsia="Arial" w:hAnsi="Arial"/>
          <w:b/>
          <w:bCs/>
          <w:sz w:val="28"/>
          <w:szCs w:val="28"/>
        </w:rPr>
        <w:t xml:space="preserve">phoenix-compliance</w:t>
      </w:r>
    </w:p>
    <w:p>
      <w:pPr>
        <w:spacing w:after="120"/>
      </w:pPr>
      <w:r>
        <w:rPr>
          <w:rFonts w:ascii="Arial" w:cs="Arial" w:eastAsia="Arial" w:hAnsi="Arial"/>
          <w:sz w:val="20"/>
          <w:szCs w:val="20"/>
        </w:rPr>
        <w:t xml:space="preserve">Phase: 4 (Weeks 9-14)</w:t>
      </w:r>
    </w:p>
    <w:p>
      <w:pPr>
        <w:spacing w:after="120"/>
      </w:pPr>
      <w:r>
        <w:rPr>
          <w:rFonts w:ascii="Arial" w:cs="Arial" w:eastAsia="Arial" w:hAnsi="Arial"/>
          <w:sz w:val="20"/>
          <w:szCs w:val="20"/>
        </w:rPr>
        <w:t xml:space="preserve">Source: /Users/johnb/Desktop/PhoenixBotRevival/phoenix-core (compliance modules), /Users/johnb/Desktop/Phase 4/GSTech/gstech-compliance, /Users/johnb/Desktop/Phase 4/RMX/rmx-aml</w:t>
      </w:r>
    </w:p>
    <w:p>
      <w:pPr>
        <w:spacing w:after="120"/>
      </w:pPr>
      <w:r>
        <w:rPr>
          <w:rFonts w:ascii="Arial" w:cs="Arial" w:eastAsia="Arial" w:hAnsi="Arial"/>
          <w:sz w:val="20"/>
          <w:szCs w:val="20"/>
        </w:rPr>
        <w:t xml:space="preserve">Translation Pattern: Express Routes → Go HTTP; Django Views → Go HTTP; Akka Actors → goroutines</w:t>
      </w:r>
    </w:p>
    <w:p>
      <w:pPr>
        <w:spacing w:after="120"/>
      </w:pPr>
      <w:r>
        <w:rPr>
          <w:rFonts w:ascii="Arial" w:cs="Arial" w:eastAsia="Arial" w:hAnsi="Arial"/>
          <w:b/>
          <w:bCs/>
          <w:sz w:val="20"/>
          <w:szCs w:val="20"/>
        </w:rPr>
        <w:t xml:space="preserve">Steps:</w:t>
      </w:r>
    </w:p>
    <w:p>
      <w:pPr>
        <w:pStyle w:val="ListParagraph"/>
        <w:numPr>
          <w:ilvl w:val="0"/>
          <w:numId w:val="3"/>
        </w:numPr>
        <w:spacing w:after="60"/>
      </w:pPr>
      <w:r>
        <w:rPr>
          <w:rFonts w:ascii="Arial" w:cs="Arial" w:eastAsia="Arial" w:hAnsi="Arial"/>
          <w:sz w:val="20"/>
          <w:szCs w:val="20"/>
        </w:rPr>
        <w:t xml:space="preserve">Extract AML rule engine from GSTech + RMX (CRITICAL: preserve exact thresholds)</w:t>
      </w:r>
    </w:p>
    <w:p>
      <w:pPr>
        <w:pStyle w:val="ListParagraph"/>
        <w:numPr>
          <w:ilvl w:val="0"/>
          <w:numId w:val="3"/>
        </w:numPr>
        <w:spacing w:after="60"/>
      </w:pPr>
      <w:r>
        <w:rPr>
          <w:rFonts w:ascii="Arial" w:cs="Arial" w:eastAsia="Arial" w:hAnsi="Arial"/>
          <w:sz w:val="20"/>
          <w:szCs w:val="20"/>
        </w:rPr>
        <w:t xml:space="preserve">Port responsible gaming features (self-exclusion, deposit limits, cool-off, session time limits)</w:t>
      </w:r>
    </w:p>
    <w:p>
      <w:pPr>
        <w:pStyle w:val="ListParagraph"/>
        <w:numPr>
          <w:ilvl w:val="0"/>
          <w:numId w:val="3"/>
        </w:numPr>
        <w:spacing w:after="60"/>
      </w:pPr>
      <w:r>
        <w:rPr>
          <w:rFonts w:ascii="Arial" w:cs="Arial" w:eastAsia="Arial" w:hAnsi="Arial"/>
          <w:sz w:val="20"/>
          <w:szCs w:val="20"/>
        </w:rPr>
        <w:t xml:space="preserve">Port state-specific compliance rules (geo-fencing, tax calculation)</w:t>
      </w:r>
    </w:p>
    <w:p>
      <w:pPr>
        <w:pStyle w:val="ListParagraph"/>
        <w:numPr>
          <w:ilvl w:val="0"/>
          <w:numId w:val="3"/>
        </w:numPr>
        <w:spacing w:after="60"/>
      </w:pPr>
      <w:r>
        <w:rPr>
          <w:rFonts w:ascii="Arial" w:cs="Arial" w:eastAsia="Arial" w:hAnsi="Arial"/>
          <w:sz w:val="20"/>
          <w:szCs w:val="20"/>
        </w:rPr>
        <w:t xml:space="preserve">Generate Logic Mapping Matrix for every ported rule</w:t>
      </w:r>
    </w:p>
    <w:p>
      <w:pPr>
        <w:pStyle w:val="ListParagraph"/>
        <w:numPr>
          <w:ilvl w:val="0"/>
          <w:numId w:val="3"/>
        </w:numPr>
        <w:spacing w:after="60"/>
      </w:pPr>
      <w:r>
        <w:rPr>
          <w:rFonts w:ascii="Arial" w:cs="Arial" w:eastAsia="Arial" w:hAnsi="Arial"/>
          <w:sz w:val="20"/>
          <w:szCs w:val="20"/>
        </w:rPr>
        <w:t xml:space="preserve">Generate Behavioral Equivalence Test Suite with 50+ test cases per module</w:t>
      </w:r>
    </w:p>
    <w:p>
      <w:pPr>
        <w:pStyle w:val="ListParagraph"/>
        <w:numPr>
          <w:ilvl w:val="0"/>
          <w:numId w:val="3"/>
        </w:numPr>
        <w:spacing w:after="60"/>
      </w:pPr>
      <w:r>
        <w:rPr>
          <w:rFonts w:ascii="Arial" w:cs="Arial" w:eastAsia="Arial" w:hAnsi="Arial"/>
          <w:sz w:val="20"/>
          <w:szCs w:val="20"/>
        </w:rPr>
        <w:t xml:space="preserve">IMPORTANT: This is DGE-regulated. Every change must be documented and auditable.</w:t>
      </w:r>
    </w:p>
    <w:p>
      <w:pPr>
        <w:spacing w:after="60"/>
      </w:pPr>
    </w:p>
    <w:p>
      <w:pPr>
        <w:pStyle w:val="Heading2"/>
      </w:pPr>
      <w:r>
        <w:rPr>
          <w:rFonts w:ascii="Arial" w:cs="Arial" w:eastAsia="Arial" w:hAnsi="Arial"/>
          <w:b/>
          <w:bCs/>
          <w:sz w:val="28"/>
          <w:szCs w:val="28"/>
        </w:rPr>
        <w:t xml:space="preserve">stella-engagement</w:t>
      </w:r>
    </w:p>
    <w:p>
      <w:pPr>
        <w:spacing w:after="120"/>
      </w:pPr>
      <w:r>
        <w:rPr>
          <w:rFonts w:ascii="Arial" w:cs="Arial" w:eastAsia="Arial" w:hAnsi="Arial"/>
          <w:sz w:val="20"/>
          <w:szCs w:val="20"/>
        </w:rPr>
        <w:t xml:space="preserve">Phase: 5 (Weeks 5-8)</w:t>
      </w:r>
    </w:p>
    <w:p>
      <w:pPr>
        <w:spacing w:after="120"/>
      </w:pPr>
      <w:r>
        <w:rPr>
          <w:rFonts w:ascii="Arial" w:cs="Arial" w:eastAsia="Arial" w:hAnsi="Arial"/>
          <w:sz w:val="20"/>
          <w:szCs w:val="20"/>
        </w:rPr>
        <w:t xml:space="preserve">Source: /Users/johnb/Desktop/PhoenixBotRevival/gmx-waysun (full platform)</w:t>
      </w:r>
    </w:p>
    <w:p>
      <w:pPr>
        <w:spacing w:after="120"/>
      </w:pPr>
      <w:r>
        <w:rPr>
          <w:rFonts w:ascii="Arial" w:cs="Arial" w:eastAsia="Arial" w:hAnsi="Arial"/>
          <w:sz w:val="20"/>
          <w:szCs w:val="20"/>
        </w:rPr>
        <w:t xml:space="preserve">Translation Pattern: No translation — deploy existing Scala/Flink code as-is</w:t>
      </w:r>
    </w:p>
    <w:p>
      <w:pPr>
        <w:spacing w:after="120"/>
      </w:pPr>
      <w:r>
        <w:rPr>
          <w:rFonts w:ascii="Arial" w:cs="Arial" w:eastAsia="Arial" w:hAnsi="Arial"/>
          <w:b/>
          <w:bCs/>
          <w:sz w:val="20"/>
          <w:szCs w:val="20"/>
        </w:rPr>
        <w:t xml:space="preserve">Steps:</w:t>
      </w:r>
    </w:p>
    <w:p>
      <w:pPr>
        <w:pStyle w:val="ListParagraph"/>
        <w:numPr>
          <w:ilvl w:val="0"/>
          <w:numId w:val="3"/>
        </w:numPr>
        <w:spacing w:after="60"/>
      </w:pPr>
      <w:r>
        <w:rPr>
          <w:rFonts w:ascii="Arial" w:cs="Arial" w:eastAsia="Arial" w:hAnsi="Arial"/>
          <w:sz w:val="20"/>
          <w:szCs w:val="20"/>
        </w:rPr>
        <w:t xml:space="preserve">Containerize event ingestor, rule configurator, wallet, achievement engine</w:t>
      </w:r>
    </w:p>
    <w:p>
      <w:pPr>
        <w:pStyle w:val="ListParagraph"/>
        <w:numPr>
          <w:ilvl w:val="0"/>
          <w:numId w:val="3"/>
        </w:numPr>
        <w:spacing w:after="60"/>
      </w:pPr>
      <w:r>
        <w:rPr>
          <w:rFonts w:ascii="Arial" w:cs="Arial" w:eastAsia="Arial" w:hAnsi="Arial"/>
          <w:sz w:val="20"/>
          <w:szCs w:val="20"/>
        </w:rPr>
        <w:t xml:space="preserve">Run database migrations: make waysun-rule-configurator-migrate &amp;&amp; make waysun-wallet-migrate</w:t>
      </w:r>
    </w:p>
    <w:p>
      <w:pPr>
        <w:pStyle w:val="ListParagraph"/>
        <w:numPr>
          <w:ilvl w:val="0"/>
          <w:numId w:val="3"/>
        </w:numPr>
        <w:spacing w:after="60"/>
      </w:pPr>
      <w:r>
        <w:rPr>
          <w:rFonts w:ascii="Arial" w:cs="Arial" w:eastAsia="Arial" w:hAnsi="Arial"/>
          <w:sz w:val="20"/>
          <w:szCs w:val="20"/>
        </w:rPr>
        <w:t xml:space="preserve">Modernize Kafka topic names to phoenix.stella.* / stella.* convention</w:t>
      </w:r>
    </w:p>
    <w:p>
      <w:pPr>
        <w:pStyle w:val="ListParagraph"/>
        <w:numPr>
          <w:ilvl w:val="0"/>
          <w:numId w:val="3"/>
        </w:numPr>
        <w:spacing w:after="60"/>
      </w:pPr>
      <w:r>
        <w:rPr>
          <w:rFonts w:ascii="Arial" w:cs="Arial" w:eastAsia="Arial" w:hAnsi="Arial"/>
          <w:sz w:val="20"/>
          <w:szCs w:val="20"/>
        </w:rPr>
        <w:t xml:space="preserve">Expose REST API endpoints for phoenix-retention integration</w:t>
      </w:r>
    </w:p>
    <w:p>
      <w:pPr>
        <w:pStyle w:val="ListParagraph"/>
        <w:numPr>
          <w:ilvl w:val="0"/>
          <w:numId w:val="3"/>
        </w:numPr>
        <w:spacing w:after="60"/>
      </w:pPr>
      <w:r>
        <w:rPr>
          <w:rFonts w:ascii="Arial" w:cs="Arial" w:eastAsia="Arial" w:hAnsi="Arial"/>
          <w:sz w:val="20"/>
          <w:szCs w:val="20"/>
        </w:rPr>
        <w:t xml:space="preserve">Verify event processing pipeline with test events</w:t>
      </w:r>
    </w:p>
    <w:p>
      <w:pPr>
        <w:pStyle w:val="ListParagraph"/>
        <w:numPr>
          <w:ilvl w:val="0"/>
          <w:numId w:val="3"/>
        </w:numPr>
        <w:spacing w:after="60"/>
      </w:pPr>
      <w:r>
        <w:rPr>
          <w:rFonts w:ascii="Arial" w:cs="Arial" w:eastAsia="Arial" w:hAnsi="Arial"/>
          <w:sz w:val="20"/>
          <w:szCs w:val="20"/>
        </w:rPr>
        <w:t xml:space="preserve">NOTE: This is the ONLY Scala service. Do NOT rewrite in Go.</w:t>
      </w:r>
    </w:p>
    <w:p>
      <w:pPr>
        <w:spacing w:after="60"/>
      </w:pPr>
    </w:p>
    <w:p>
      <w:r>
        <w:br w:type="page"/>
      </w:r>
    </w:p>
    <w:p>
      <w:pPr>
        <w:pStyle w:val="Heading1"/>
      </w:pPr>
      <w:r>
        <w:rPr>
          <w:rFonts w:ascii="Arial" w:cs="Arial" w:eastAsia="Arial" w:hAnsi="Arial"/>
          <w:b/>
          <w:bCs/>
          <w:sz w:val="32"/>
          <w:szCs w:val="32"/>
        </w:rPr>
        <w:t xml:space="preserve">12. External Services (Buy, Do Not Build)</w:t>
      </w:r>
    </w:p>
    <w:p>
      <w:pPr>
        <w:spacing w:after="120"/>
      </w:pPr>
      <w:r>
        <w:rPr>
          <w:rFonts w:ascii="Arial" w:cs="Arial" w:eastAsia="Arial" w:hAnsi="Arial"/>
          <w:sz w:val="20"/>
          <w:szCs w:val="20"/>
        </w:rPr>
        <w:t xml:space="preserve">Per Directives 3, 4, and 6, the following capabilities are external purchases. Do NOT build these.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Tool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Integration Approach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Grafana Cloud (free tier) or Datadog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OpenTelemetry SDK in each Go service, export to external backend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Crisp or Tawk.to (free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$50-300/mo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JavaScript widget in frontend, webhook integration for ticket 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 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GrowthBook (OSS, self-hosted)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flag SDK in Go services, experiment tracking via analytics events</w:t>
            </w:r>
          </w:p>
        </w:tc>
      </w:tr>
    </w:tbl>
    <w:p>
      <w:r>
        <w:br w:type="page"/>
      </w:r>
    </w:p>
    <w:p>
      <w:pPr>
        <w:pStyle w:val="Heading1"/>
      </w:pPr>
      <w:r>
        <w:rPr>
          <w:rFonts w:ascii="Arial" w:cs="Arial" w:eastAsia="Arial" w:hAnsi="Arial"/>
          <w:b/>
          <w:bCs/>
          <w:sz w:val="32"/>
          <w:szCs w:val="32"/>
        </w:rPr>
        <w:t xml:space="preserve">13. Key Constraints and Rules</w:t>
      </w:r>
    </w:p>
    <w:p>
      <w:pPr>
        <w:spacing w:after="60"/>
      </w:pPr>
    </w:p>
    <w:p>
      <w:pPr>
        <w:spacing w:after="120"/>
      </w:pPr>
      <w:r>
        <w:rPr>
          <w:rFonts w:ascii="Arial" w:cs="Arial" w:eastAsia="Arial" w:hAnsi="Arial"/>
          <w:b/>
          <w:bCs/>
          <w:sz w:val="20"/>
          <w:szCs w:val="20"/>
        </w:rPr>
        <w:t xml:space="preserve">Language Rules:</w:t>
      </w:r>
    </w:p>
    <w:p>
      <w:pPr>
        <w:pStyle w:val="ListParagraph"/>
        <w:numPr>
          <w:ilvl w:val="0"/>
          <w:numId w:val="2"/>
        </w:numPr>
        <w:spacing w:after="60"/>
      </w:pPr>
      <w:r>
        <w:rPr>
          <w:rFonts w:ascii="Arial" w:cs="Arial" w:eastAsia="Arial" w:hAnsi="Arial"/>
          <w:sz w:val="20"/>
          <w:szCs w:val="20"/>
        </w:rPr>
        <w:t xml:space="preserve">All new backend code MUST be Go (except Stella which stays Scala/Flink)</w:t>
      </w:r>
    </w:p>
    <w:p>
      <w:pPr>
        <w:pStyle w:val="ListParagraph"/>
        <w:numPr>
          <w:ilvl w:val="0"/>
          <w:numId w:val="2"/>
        </w:numPr>
        <w:spacing w:after="60"/>
      </w:pPr>
      <w:r>
        <w:rPr>
          <w:rFonts w:ascii="Arial" w:cs="Arial" w:eastAsia="Arial" w:hAnsi="Arial"/>
          <w:sz w:val="20"/>
          <w:szCs w:val="20"/>
        </w:rPr>
        <w:t xml:space="preserve">Frontend stays React/Next.js — no changes to frontend framework</w:t>
      </w:r>
    </w:p>
    <w:p>
      <w:pPr>
        <w:pStyle w:val="ListParagraph"/>
        <w:numPr>
          <w:ilvl w:val="0"/>
          <w:numId w:val="2"/>
        </w:numPr>
        <w:spacing w:after="60"/>
      </w:pPr>
      <w:r>
        <w:rPr>
          <w:rFonts w:ascii="Arial" w:cs="Arial" w:eastAsia="Arial" w:hAnsi="Arial"/>
          <w:sz w:val="20"/>
          <w:szCs w:val="20"/>
        </w:rPr>
        <w:t xml:space="preserve">No new Scala, Akka, Node.js, or Python backend services</w:t>
      </w:r>
    </w:p>
    <w:p>
      <w:pPr>
        <w:spacing w:after="60"/>
      </w:pPr>
    </w:p>
    <w:p>
      <w:pPr>
        <w:spacing w:after="120"/>
      </w:pPr>
      <w:r>
        <w:rPr>
          <w:rFonts w:ascii="Arial" w:cs="Arial" w:eastAsia="Arial" w:hAnsi="Arial"/>
          <w:b/>
          <w:bCs/>
          <w:sz w:val="20"/>
          <w:szCs w:val="20"/>
        </w:rPr>
        <w:t xml:space="preserve">Architecture Rules:</w:t>
      </w:r>
    </w:p>
    <w:p>
      <w:pPr>
        <w:pStyle w:val="ListParagraph"/>
        <w:numPr>
          <w:ilvl w:val="0"/>
          <w:numId w:val="2"/>
        </w:numPr>
        <w:spacing w:after="60"/>
      </w:pPr>
      <w:r>
        <w:rPr>
          <w:rFonts w:ascii="Arial" w:cs="Arial" w:eastAsia="Arial" w:hAnsi="Arial"/>
          <w:sz w:val="20"/>
          <w:szCs w:val="20"/>
        </w:rPr>
        <w:t xml:space="preserve">Every service independently deployable with its own Docker container</w:t>
      </w:r>
    </w:p>
    <w:p>
      <w:pPr>
        <w:pStyle w:val="ListParagraph"/>
        <w:numPr>
          <w:ilvl w:val="0"/>
          <w:numId w:val="2"/>
        </w:numPr>
        <w:spacing w:after="60"/>
      </w:pPr>
      <w:r>
        <w:rPr>
          <w:rFonts w:ascii="Arial" w:cs="Arial" w:eastAsia="Arial" w:hAnsi="Arial"/>
          <w:sz w:val="20"/>
          <w:szCs w:val="20"/>
        </w:rPr>
        <w:t xml:space="preserve">Database-per-service: each service owns its PostgreSQL schema</w:t>
      </w:r>
    </w:p>
    <w:p>
      <w:pPr>
        <w:pStyle w:val="ListParagraph"/>
        <w:numPr>
          <w:ilvl w:val="0"/>
          <w:numId w:val="2"/>
        </w:numPr>
        <w:spacing w:after="60"/>
      </w:pPr>
      <w:r>
        <w:rPr>
          <w:rFonts w:ascii="Arial" w:cs="Arial" w:eastAsia="Arial" w:hAnsi="Arial"/>
          <w:sz w:val="20"/>
          <w:szCs w:val="20"/>
        </w:rPr>
        <w:t xml:space="preserve">Inter-service communication via Kafka events (async) or HTTP/gRPC (sync queries)</w:t>
      </w:r>
    </w:p>
    <w:p>
      <w:pPr>
        <w:pStyle w:val="ListParagraph"/>
        <w:numPr>
          <w:ilvl w:val="0"/>
          <w:numId w:val="2"/>
        </w:numPr>
        <w:spacing w:after="60"/>
      </w:pPr>
      <w:r>
        <w:rPr>
          <w:rFonts w:ascii="Arial" w:cs="Arial" w:eastAsia="Arial" w:hAnsi="Arial"/>
          <w:sz w:val="20"/>
          <w:szCs w:val="20"/>
        </w:rPr>
        <w:t xml:space="preserve">No shared databases between services</w:t>
      </w:r>
    </w:p>
    <w:p>
      <w:pPr>
        <w:pStyle w:val="ListParagraph"/>
        <w:numPr>
          <w:ilvl w:val="0"/>
          <w:numId w:val="2"/>
        </w:numPr>
        <w:spacing w:after="60"/>
      </w:pPr>
      <w:r>
        <w:rPr>
          <w:rFonts w:ascii="Arial" w:cs="Arial" w:eastAsia="Arial" w:hAnsi="Arial"/>
          <w:sz w:val="20"/>
          <w:szCs w:val="20"/>
        </w:rPr>
        <w:t xml:space="preserve">All APIs go through phoenix-gateway</w:t>
      </w:r>
    </w:p>
    <w:p>
      <w:pPr>
        <w:spacing w:after="60"/>
      </w:pPr>
    </w:p>
    <w:p>
      <w:pPr>
        <w:spacing w:after="120"/>
      </w:pPr>
      <w:r>
        <w:rPr>
          <w:rFonts w:ascii="Arial" w:cs="Arial" w:eastAsia="Arial" w:hAnsi="Arial"/>
          <w:b/>
          <w:bCs/>
          <w:sz w:val="20"/>
          <w:szCs w:val="20"/>
        </w:rPr>
        <w:t xml:space="preserve">Compliance Rules:</w:t>
      </w:r>
    </w:p>
    <w:p>
      <w:pPr>
        <w:pStyle w:val="ListParagraph"/>
        <w:numPr>
          <w:ilvl w:val="0"/>
          <w:numId w:val="2"/>
        </w:numPr>
        <w:spacing w:after="60"/>
      </w:pPr>
      <w:r>
        <w:rPr>
          <w:rFonts w:ascii="Arial" w:cs="Arial" w:eastAsia="Arial" w:hAnsi="Arial"/>
          <w:sz w:val="20"/>
          <w:szCs w:val="20"/>
        </w:rPr>
        <w:t xml:space="preserve">For DGE-regulated modules: generate compliance documentation ALONGSIDE code</w:t>
      </w:r>
    </w:p>
    <w:p>
      <w:pPr>
        <w:pStyle w:val="ListParagraph"/>
        <w:numPr>
          <w:ilvl w:val="0"/>
          <w:numId w:val="2"/>
        </w:numPr>
        <w:spacing w:after="60"/>
      </w:pPr>
      <w:r>
        <w:rPr>
          <w:rFonts w:ascii="Arial" w:cs="Arial" w:eastAsia="Arial" w:hAnsi="Arial"/>
          <w:sz w:val="20"/>
          <w:szCs w:val="20"/>
        </w:rPr>
        <w:t xml:space="preserve">Never change AML thresholds or responsible gaming limits without explicit approval</w:t>
      </w:r>
    </w:p>
    <w:p>
      <w:pPr>
        <w:pStyle w:val="ListParagraph"/>
        <w:numPr>
          <w:ilvl w:val="0"/>
          <w:numId w:val="2"/>
        </w:numPr>
        <w:spacing w:after="60"/>
      </w:pPr>
      <w:r>
        <w:rPr>
          <w:rFonts w:ascii="Arial" w:cs="Arial" w:eastAsia="Arial" w:hAnsi="Arial"/>
          <w:sz w:val="20"/>
          <w:szCs w:val="20"/>
        </w:rPr>
        <w:t xml:space="preserve">Every regulated function must have a behavioral equivalence test</w:t>
      </w:r>
    </w:p>
    <w:p>
      <w:pPr>
        <w:pStyle w:val="ListParagraph"/>
        <w:numPr>
          <w:ilvl w:val="0"/>
          <w:numId w:val="2"/>
        </w:numPr>
        <w:spacing w:after="60"/>
      </w:pPr>
      <w:r>
        <w:rPr>
          <w:rFonts w:ascii="Arial" w:cs="Arial" w:eastAsia="Arial" w:hAnsi="Arial"/>
          <w:sz w:val="20"/>
          <w:szCs w:val="20"/>
        </w:rPr>
        <w:t xml:space="preserve">Audit trail must be immutable (append-only event log)</w:t>
      </w:r>
    </w:p>
    <w:p>
      <w:pPr>
        <w:spacing w:after="60"/>
      </w:pPr>
    </w:p>
    <w:p>
      <w:pPr>
        <w:spacing w:after="120"/>
      </w:pPr>
      <w:r>
        <w:rPr>
          <w:rFonts w:ascii="Arial" w:cs="Arial" w:eastAsia="Arial" w:hAnsi="Arial"/>
          <w:b/>
          <w:bCs/>
          <w:sz w:val="20"/>
          <w:szCs w:val="20"/>
        </w:rPr>
        <w:t xml:space="preserve">Code Quality Rules:</w:t>
      </w:r>
    </w:p>
    <w:p>
      <w:pPr>
        <w:pStyle w:val="ListParagraph"/>
        <w:numPr>
          <w:ilvl w:val="0"/>
          <w:numId w:val="2"/>
        </w:numPr>
        <w:spacing w:after="60"/>
      </w:pPr>
      <w:r>
        <w:rPr>
          <w:rFonts w:ascii="Arial" w:cs="Arial" w:eastAsia="Arial" w:hAnsi="Arial"/>
          <w:sz w:val="20"/>
          <w:szCs w:val="20"/>
        </w:rPr>
        <w:t xml:space="preserve">&gt;80% unit test coverage on business logic</w:t>
      </w:r>
    </w:p>
    <w:p>
      <w:pPr>
        <w:pStyle w:val="ListParagraph"/>
        <w:numPr>
          <w:ilvl w:val="0"/>
          <w:numId w:val="2"/>
        </w:numPr>
        <w:spacing w:after="60"/>
      </w:pPr>
      <w:r>
        <w:rPr>
          <w:rFonts w:ascii="Arial" w:cs="Arial" w:eastAsia="Arial" w:hAnsi="Arial"/>
          <w:sz w:val="20"/>
          <w:szCs w:val="20"/>
        </w:rPr>
        <w:t xml:space="preserve">All HTTP endpoints documented in OpenAPI 3.0 spec</w:t>
      </w:r>
    </w:p>
    <w:p>
      <w:pPr>
        <w:pStyle w:val="ListParagraph"/>
        <w:numPr>
          <w:ilvl w:val="0"/>
          <w:numId w:val="2"/>
        </w:numPr>
        <w:spacing w:after="60"/>
      </w:pPr>
      <w:r>
        <w:rPr>
          <w:rFonts w:ascii="Arial" w:cs="Arial" w:eastAsia="Arial" w:hAnsi="Arial"/>
          <w:sz w:val="20"/>
          <w:szCs w:val="20"/>
        </w:rPr>
        <w:t xml:space="preserve">All Kafka events documented with Avro/JSON schema</w:t>
      </w:r>
    </w:p>
    <w:p>
      <w:pPr>
        <w:pStyle w:val="ListParagraph"/>
        <w:numPr>
          <w:ilvl w:val="0"/>
          <w:numId w:val="2"/>
        </w:numPr>
        <w:spacing w:after="60"/>
      </w:pPr>
      <w:r>
        <w:rPr>
          <w:rFonts w:ascii="Arial" w:cs="Arial" w:eastAsia="Arial" w:hAnsi="Arial"/>
          <w:sz w:val="20"/>
          <w:szCs w:val="20"/>
        </w:rPr>
        <w:t xml:space="preserve">Go code must pass golint, go vet, and staticcheck</w:t>
      </w:r>
    </w:p>
    <w:p>
      <w:pPr>
        <w:pStyle w:val="ListParagraph"/>
        <w:numPr>
          <w:ilvl w:val="0"/>
          <w:numId w:val="2"/>
        </w:numPr>
        <w:spacing w:after="60"/>
      </w:pPr>
      <w:r>
        <w:rPr>
          <w:rFonts w:ascii="Arial" w:cs="Arial" w:eastAsia="Arial" w:hAnsi="Arial"/>
          <w:sz w:val="20"/>
          <w:szCs w:val="20"/>
        </w:rPr>
        <w:t xml:space="preserve">Every module includes inline comments referencing the original source code location</w:t>
      </w:r>
    </w:p>
    <w:p>
      <w:r>
        <w:br w:type="page"/>
      </w:r>
    </w:p>
    <w:p>
      <w:pPr>
        <w:pStyle w:val="Heading1"/>
      </w:pPr>
      <w:r>
        <w:rPr>
          <w:rFonts w:ascii="Arial" w:cs="Arial" w:eastAsia="Arial" w:hAnsi="Arial"/>
          <w:b/>
          <w:bCs/>
          <w:sz w:val="32"/>
          <w:szCs w:val="32"/>
        </w:rPr>
        <w:t xml:space="preserve">14. Effort Estimate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Low 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High 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Foundation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 shared libs + infra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Core Betting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 Betting +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Money Flow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7-12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 + Settlement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4: User &amp; Compliance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9-14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 Compliance (DGE docs)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5: Stella Deploy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5-8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existing Scala/Flink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6: Retention &amp; Analytics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13-20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Retention +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7: Social &amp; Notification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17-24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 Notification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8: CMS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21-28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CMS replacing Strapi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9: Integration Testing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25-32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load, security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10: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33-36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DGE review + production deploy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~138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~188 wks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weeks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Engineer-weeks (parallelizable)</w:t>
            </w:r>
          </w:p>
        </w:tc>
      </w:tr>
    </w:tbl>
    <w:p>
      <w:pPr>
        <w:spacing w:after="60"/>
      </w:pPr>
    </w:p>
    <w:p>
      <w:pPr>
        <w:spacing w:after="120"/>
      </w:pPr>
      <w:r>
        <w:rPr>
          <w:rFonts w:ascii="Arial" w:cs="Arial" w:eastAsia="Arial" w:hAnsi="Arial"/>
          <w:sz w:val="20"/>
          <w:szCs w:val="20"/>
        </w:rPr>
        <w:t xml:space="preserve">Note: Engineer-weeks are parallelizable across team members. The 36-week calendar timeline assumes adequate staffing. A single developer using AI coding agents would take significantly longer.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Phoenix Platform — Codex Agent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2026-03-07T17:29:23.823Z</dcterms:created>
  <dcterms:modified xsi:type="dcterms:W3CDTF">2026-03-07T17:29:23.824Z</dcterms:modified>
</cp:coreProperties>
</file>

<file path=docProps/custom.xml><?xml version="1.0" encoding="utf-8"?>
<Properties xmlns="http://schemas.openxmlformats.org/officeDocument/2006/custom-properties" xmlns:vt="http://schemas.openxmlformats.org/officeDocument/2006/docPropsVTypes"/>
</file>