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Phoenix Platform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Strategy Alignment Analysis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Document 4 (AI-First Resurrection) vs. External Strategic Review</w:t>
      </w:r>
    </w:p>
    <w:p>
      <w:pPr>
        <w:spacing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Generated: 2026-03-07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document compares Document 4 (AI-First Resurrection) with an independent external strategic review of the Phoenix platform's Phase 4 asset strategy. The two plans were developed independently, yet converge on a remarkable number of strategic conclusions while diverging on a handful of critical implementation decisions.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Alignment Areas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both plans agree on direction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Agreement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 conclusions reached independently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Agreement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direction with different tactical framing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Agreement by Omission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plan silent, no contradiction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Divergences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conclusions on 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Major Divergences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Stella: Deploy vs. Absorb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 Divergences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Strapi, Observability, Customer Support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Minor Divergences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language, A/B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Philosophical Divergences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Porting vs. Code Archaeology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 line: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two plans share the same strategic DNA. The divergences are mostly about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how aggressively to pursue architectural purity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versus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speed to market.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The external plan is more architecturally pure (zero legacy runtimes). Document 4 is more operationally pragmatic (deploy what works, refactor later). The recommendations in this document propose a hybrid path that honors both perspectives.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Areas of Agreement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10 areas represent strategic alignment between the two plans. Where both plans arrived at the same conclusion independently, confidence in that direction is high.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 GSTech / Idefix Treatment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4 Position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Plan Position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Strong Agreement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Port to Scala (15 gaps, 30-40 wks). Translate Node.js business logic into Scala/Akka actors. Phased: low-complexity first, compliance last.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corpus. Extract rules, schemas, workflows, API contracts. Do NOT deploy as a living platform.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sz w:val="22"/>
          <w:szCs w:val="22"/>
        </w:rPr>
        <w:t xml:space="preserve">Both reject deploying GSTech. Doc 4 is more specific (code-to-code translation). External is more abstract (mine domain knowledge). The end result is the same: GSTech logic lives inside Phoenix, GSTech platform dies.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 Flip Leaderboard Treatment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4 Position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Plan Position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Agreement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 Extraction Only (No Deploy). LLM translates Java competition logic to Scala for Stella. 1-2 weeks.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mentioned as a separate platform; implicitly absorbed. Competition logic belongs in Phoenix core.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sz w:val="22"/>
          <w:szCs w:val="22"/>
        </w:rPr>
        <w:t xml:space="preserve">Both treat Flip as dead code to mine for unique algorithms. Neither proposes deploying Storm/Kafka.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 SBTech Akka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4 Position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Plan Position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Strong Agreement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Akka price pump directly into Phoenix. LLM-port Python/TS feed adapters to Scala. 14-18 weeks.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material for new pricing/risk subsystem. Akka components are architectural raw material, not a service to deploy.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sz w:val="22"/>
          <w:szCs w:val="22"/>
        </w:rPr>
        <w:t xml:space="preserve">Both extract SBTech Akka into Phoenix. External frames it as "raw material" while Doc 4 has a specific extraction plan. Compatible approaches.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 RMX Referral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4 Position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Plan Position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Agreement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Port to Scala. Preserve unique MPPT referral tree. No SaaS matches this. 5-7 weeks.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Absorb referral model into Phoenix rather than outsource to SaaS. Referral is strategic and worth owning.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sz w:val="22"/>
          <w:szCs w:val="22"/>
        </w:rPr>
        <w:t xml:space="preserve">Both independently identify referral as strategic IP that must be owned, not outsourced. Both reject GrowSurf/Friendbuy SaaS.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 Target Language: Scala + Next.js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4 Position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Plan Position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Strong Agreement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ports to Scala/Akka backend + Next.js frontend. No new languages introduced.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 for event-heavy stateful services. React/Next for UI. Do NOT introduce Python/Node as first-class permanent layers.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sz w:val="22"/>
          <w:szCs w:val="22"/>
        </w:rPr>
        <w:t xml:space="preserve">Both converge on Scala + Next.js as the permanent stack. External adds Go for stateless APIs (a divergence, but the core agreement on Scala dominance is clear).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 AI/LLM-Assisted Code Transformation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4 Position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Plan Position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Strong Agreement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6-step LLM Porting Pipeline (Extract, Specify, Translate, Test, Integrate, Document). Detailed translation pattern catalog with fidelity ratings.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Code-archaeology-to-replatform approach. Use AI to mine and translate domain logic.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sz w:val="22"/>
          <w:szCs w:val="22"/>
        </w:rPr>
        <w:t xml:space="preserve">Both leverage AI as the primary code transformation tool. Doc 4 is more operationally detailed. External is more strategic. Same thesis.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 Build-New Items (17 Gaps)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4 Position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Plan Position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Agreement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SGP engine/UI, mobile apps, liability tracking, arbitrage detection, trading UI, tax reporting, exchange/order book, dispute resolution, etc. No Phase 4 source exists.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Bucket 3 (Build Natively): SGP engine + UI, liability/exposure tracking, arbitrage detection, trading/odds management UI, dispute resolution workflow, tax reporting/W-2-G, exchange/order book.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sz w:val="22"/>
          <w:szCs w:val="22"/>
        </w:rPr>
        <w:t xml:space="preserve">Near-identical lists. Both recognize these capabilities require ground-up development with no usable Phase 4 source.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 External Feeds and Streaming Licensing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4 Position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Plan Position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Agreement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 streaming (IMG Arena/Genius Sports) and data feeds (Sportradar/BetRadar) are required regardless. $100-400K/yr. Not business logic replaceable by porting.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feeds/match tracker and sports streaming/video go in Buy bucket. Industry-standard licensing.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sz w:val="22"/>
          <w:szCs w:val="22"/>
        </w:rPr>
        <w:t xml:space="preserve">Both treat feeds and streaming as non-negotiable external purchases. Neither attempts to self-build this.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 Kill the SaaS 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4 Position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Plan Position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Strong Agreement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Eliminates $45-207K/yr in SaaS. Down to $5-25K/yr (video CDN only). Data sovereignty: 100% internal.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outsource strategic capabilities. Absorb domain logic rather than rent it. Minimize vendor lock-in.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sz w:val="22"/>
          <w:szCs w:val="22"/>
        </w:rPr>
        <w:t xml:space="preserve">Both share the philosophical conviction that strategic domain logic belongs in-house. External is more willing to Buy non-strategic tooling (see Divergences).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10. Compliance Documentation for 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4 Position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Plan Position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Agreement (by omission)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4-artifact compliance strategy: Logic Mapping Matrix, Behavioral Equivalence Tests, Change Impact Assessment, Audit Trail. LLM generates docs alongside code.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explicitly addressed.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Assessment: </w:t>
      </w:r>
      <w:r>
        <w:rPr>
          <w:rFonts w:ascii="Arial" w:cs="Arial" w:eastAsia="Arial" w:hAnsi="Arial"/>
          <w:sz w:val="22"/>
          <w:szCs w:val="22"/>
        </w:rPr>
        <w:t xml:space="preserve">External plan doesn't contradict the compliance strategy; it simply doesn't address it. Doc 4's DGE documentation approach remains valid and complementary.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Areas of Divergence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7 areas represent genuine strategic disagreements between the plans. For each, we present both positions, the tradeoffs, and a recommended resolution.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 Stella: Deploy vs. Absorb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MAJOR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4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Plan Position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Stella as companion microservices alongside Phoenix. AI-refactor over 4 phases (16 weeks). Stella is the "strongest legacy asset" sharing Phoenix's Scala/Akka stack. Keeps Stella running while gradually modernizing.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Mine Stella for core rules, models, and event contracts. Do NOT deploy as a standalone service. Absorb domain logic into Phoenix's own bounded contexts. No permanent Stella runtime.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Tradeoffs: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Tradeoffs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 + Refactor (Doc 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 time-to-value (loyalty features live in weeks, not months). Lower risk of logic loss during extraction. Proven Kafka topic structure stays intact. Adds a second Scala runtime to operate.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Absorb Only (External)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Cleaner long-term architecture (one runtime). No legacy service to maintain. Harder to extract without running it. Loyalty features delayed until absorption complete (could take 20+ weeks).</w:t>
            </w:r>
          </w:p>
        </w:tc>
      </w:tr>
    </w:tbl>
    <w:p>
      <w:pPr>
        <w:pBdr>
          <w:left w:val="single" w:color="4CAF50" w:sz="12"/>
        </w:pBdr>
        <w:shd w:fill="E8F5E9" w:val="clear"/>
        <w:spacing w:after="200" w:before="120"/>
        <w:ind w:left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Recommended Resolution: </w:t>
      </w:r>
      <w:r>
        <w:rPr>
          <w:rFonts w:ascii="Arial" w:cs="Arial" w:eastAsia="Arial" w:hAnsi="Arial"/>
          <w:sz w:val="22"/>
          <w:szCs w:val="22"/>
        </w:rPr>
        <w:t xml:space="preserve">Hybrid: Deploy Stella as a TEMPORARY runtime (Phase 1-2) to validate domain logic and Kafka contracts, then absorb into Phoenix core (Phase 3-4). Set a hard sunset date. This gets loyalty features live fast while committing to the external plan's clean end-state.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 Strapi CMS: Deploy Permanently vs. Temporary Utility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96600"/>
          <w:sz w:val="22"/>
          <w:szCs w:val="22"/>
        </w:rPr>
        <w:t xml:space="preserve">MODERATE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4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Plan Position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Strapi as-is, unchanged. Permanent headless CMS for marketing content. 2-3 weeks. Avoids $1.2-10K/yr CMS SaaS.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Maybe accept Strapi as temporary utility only. NOT part of permanent target-state. No permanent Node.js runtime.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Tradeoffs: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Tradeoffs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 Permanently (Doc 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Near-zero effort. Marketing team gets CMS immediately. Adds permanent Node.js process to production stack. Contradicts the "no Node in production" principle.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Temporary Only (External)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Eventually builds or buys a Scala/Next.js-native CMS solution. Cleaner long-term stack. Higher near-term cost to replace something that already works.</w:t>
            </w:r>
          </w:p>
        </w:tc>
      </w:tr>
    </w:tbl>
    <w:p>
      <w:pPr>
        <w:pBdr>
          <w:left w:val="single" w:color="4CAF50" w:sz="12"/>
        </w:pBdr>
        <w:shd w:fill="E8F5E9" w:val="clear"/>
        <w:spacing w:after="200" w:before="120"/>
        <w:ind w:left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Recommended Resolution: </w:t>
      </w:r>
      <w:r>
        <w:rPr>
          <w:rFonts w:ascii="Arial" w:cs="Arial" w:eastAsia="Arial" w:hAnsi="Arial"/>
          <w:sz w:val="22"/>
          <w:szCs w:val="22"/>
        </w:rPr>
        <w:t xml:space="preserve">Deploy Strapi now with an explicit 12-month sunset. During that window, evaluate whether Phoenix's Next.js frontend can absorb CMS functions natively (headless content API in Scala) or whether a lightweight external CMS is warranted.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 Observability: Self-Host vs. Buy SaaS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96600"/>
          <w:sz w:val="22"/>
          <w:szCs w:val="22"/>
        </w:rPr>
        <w:t xml:space="preserve">MODERATE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4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Plan Position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 Prometheus + Grafana from Phase 4 configs. Saves $10-30K/yr vs. Datadog. 4-6 weeks setup.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observability in "Buy externally" bucket. SaaS observability is non-strategic tooling.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Tradeoffs: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Tradeoffs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Self-Host (Doc 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OpEx ($0 vs. $10-30K/yr). Full data control. Adds operational burden (maintaining Prometheus, Grafana upgrades, storage). Phase 4 configs give head start.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 SaaS (External)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operational overhead. Better out-of-box integrations (APM, log aggregation, alerting). Higher OpEx. Vendor dependency for critical infrastructure visibility.</w:t>
            </w:r>
          </w:p>
        </w:tc>
      </w:tr>
    </w:tbl>
    <w:p>
      <w:pPr>
        <w:pBdr>
          <w:left w:val="single" w:color="4CAF50" w:sz="12"/>
        </w:pBdr>
        <w:shd w:fill="E8F5E9" w:val="clear"/>
        <w:spacing w:after="200" w:before="120"/>
        <w:ind w:left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Recommended Resolution: </w:t>
      </w:r>
      <w:r>
        <w:rPr>
          <w:rFonts w:ascii="Arial" w:cs="Arial" w:eastAsia="Arial" w:hAnsi="Arial"/>
          <w:sz w:val="22"/>
          <w:szCs w:val="22"/>
        </w:rPr>
        <w:t xml:space="preserve">Start self-hosted (Doc 4's approach) since Phase 4 configs de-risk setup. Re-evaluate at Month 6 whether the operational burden justifies switching to SaaS. For a team running a regulated sportsbook, owning observability data is arguably strategic.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 Customer Support: Port vs. Buy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996600"/>
          <w:sz w:val="22"/>
          <w:szCs w:val="22"/>
        </w:rPr>
        <w:t xml:space="preserve">MODERATE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4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Plan Position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LLM-port GSTech + RMX CS dashboards to Scala + Next.js. Avoid $55-115/agent/mo Zendesk. 10-14 weeks combined.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chat/support goes in "Buy externally" bucket. Support tooling is non-strategic.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Tradeoffs: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Tradeoffs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It (Doc 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Avoids per-agent SaaS costs that scale with growth. Tighter integration with bet/wallet/compliance data. 10-14 weeks of engineering on non-core feature. Custom tool must be maintained forever.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 It (External)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Mature tooling with AI chat, ticket routing, SLA tracking, analytics. Team focuses on sportsbook core. Per-agent costs add up at scale ($30-60K/yr for 20-50 agents). Compliance data integration is complex with external tools.</w:t>
            </w:r>
          </w:p>
        </w:tc>
      </w:tr>
    </w:tbl>
    <w:p>
      <w:pPr>
        <w:pBdr>
          <w:left w:val="single" w:color="4CAF50" w:sz="12"/>
        </w:pBdr>
        <w:shd w:fill="E8F5E9" w:val="clear"/>
        <w:spacing w:after="200" w:before="120"/>
        <w:ind w:left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Recommended Resolution: </w:t>
      </w:r>
      <w:r>
        <w:rPr>
          <w:rFonts w:ascii="Arial" w:cs="Arial" w:eastAsia="Arial" w:hAnsi="Arial"/>
          <w:sz w:val="22"/>
          <w:szCs w:val="22"/>
        </w:rPr>
        <w:t xml:space="preserve">For launch: Buy a lightweight support tool (Intercom/Freshdesk). For scale: If agent count grows past 20+, the per-agent economics favor porting. The compliance data integration challenge (support agents need to see bet history, AML flags) may force an internal tool eventually. Revisit at Month 9.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 Go as a Platform Language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336699"/>
          <w:sz w:val="22"/>
          <w:szCs w:val="22"/>
        </w:rPr>
        <w:t xml:space="preserve">MINOR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4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Plan Position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mentioned. Everything routes through Scala/Akka + Next.js. The Go strangler-pattern gateway already exists in Phoenix.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Recommends Go for stateless APIs/gateways alongside Scala for stateful services. Three-language target: Scala + Go + React/Next.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Tradeoffs: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Tradeoffs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Scala-Only Backend (Doc 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Simpler hiring profile. One language for all backend services. Akka HTTP handles stateless routes adequately. Heavier runtime per service (JVM).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 + Go (External)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excels at lightweight, high-throughput stateless proxies. Smaller binary/memory footprint for API gateways. Adds second backend language to maintain. Phoenix already has a Go gateway.</w:t>
            </w:r>
          </w:p>
        </w:tc>
      </w:tr>
    </w:tbl>
    <w:p>
      <w:pPr>
        <w:pBdr>
          <w:left w:val="single" w:color="4CAF50" w:sz="12"/>
        </w:pBdr>
        <w:shd w:fill="E8F5E9" w:val="clear"/>
        <w:spacing w:after="200" w:before="120"/>
        <w:ind w:left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Recommended Resolution: </w:t>
      </w:r>
      <w:r>
        <w:rPr>
          <w:rFonts w:ascii="Arial" w:cs="Arial" w:eastAsia="Arial" w:hAnsi="Arial"/>
          <w:sz w:val="22"/>
          <w:szCs w:val="22"/>
        </w:rPr>
        <w:t xml:space="preserve">Keep the existing Go gateway (it's already in production). Don't expand Go beyond the gateway layer. New services should be Scala/Akka. This effectively matches both plans without introducing a third language for new development.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 A/B Testing: Port vs. Maybe-Buy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336699"/>
          <w:sz w:val="22"/>
          <w:szCs w:val="22"/>
        </w:rPr>
        <w:t xml:space="preserve">MINOR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4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Plan Position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LLM-port GSTech A/B testing infrastructure to Scala. Part of GSTech Phase 2 (Weeks 5-12).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Maybe buy feature-flag/experimentation tooling initially. Listed as potential Buy item.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Tradeoffs: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Tradeoffs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It (Doc 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after engineering investment. Tighter integration. GSTech has working implementation as source. Requires maintenance.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 Initially (External)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 to market. Mature statistical engines. Can switch later. $0-10K/yr (some have free tiers).</w:t>
            </w:r>
          </w:p>
        </w:tc>
      </w:tr>
    </w:tbl>
    <w:p>
      <w:pPr>
        <w:pBdr>
          <w:left w:val="single" w:color="4CAF50" w:sz="12"/>
        </w:pBdr>
        <w:shd w:fill="E8F5E9" w:val="clear"/>
        <w:spacing w:after="200" w:before="120"/>
        <w:ind w:left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Recommended Resolution: </w:t>
      </w:r>
      <w:r>
        <w:rPr>
          <w:rFonts w:ascii="Arial" w:cs="Arial" w:eastAsia="Arial" w:hAnsi="Arial"/>
          <w:sz w:val="22"/>
          <w:szCs w:val="22"/>
        </w:rPr>
        <w:t xml:space="preserve">Buy initially (LaunchDarkly free tier or Statsig). Port from GSTech later if the platform scales enough to justify the switch. Low-stakes decision either way.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 Philosophy: Synthetic Porting vs. Code Archaeology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336699"/>
          <w:sz w:val="22"/>
          <w:szCs w:val="22"/>
        </w:rPr>
        <w:t xml:space="preserve">PHILOSOPHICAL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4 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Plan Position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Treats Phase 4 code as active source for LLM code-to-code translation. 6-step pipeline translates modules preserving exact behavior. "Behavioral equivalence" is the goal.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Treats Phase 4 code as dead code to mine for domain knowledge. Extract rules, schemas, workflows, API contracts, operational decision tables. Re-implement only what belongs in Phoenix's core.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Tradeoffs: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Tradeoffs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Synthetic Porting (Doc 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Preserves proven business logic exactly. LLM fidelity is measurable (equivalence tests). Faster for well-structured modules. Risk: carrying over bad patterns from legacy code.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Archaeology (External)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Opportunity to improve domain model during re-implementation. Cherry-picks only valuable logic. Slower for each module. Risk: losing subtle business rules during extraction.</w:t>
            </w:r>
          </w:p>
        </w:tc>
      </w:tr>
    </w:tbl>
    <w:p>
      <w:pPr>
        <w:pBdr>
          <w:left w:val="single" w:color="4CAF50" w:sz="12"/>
        </w:pBdr>
        <w:shd w:fill="E8F5E9" w:val="clear"/>
        <w:spacing w:after="200" w:before="120"/>
        <w:ind w:left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Recommended Resolution: </w:t>
      </w:r>
      <w:r>
        <w:rPr>
          <w:rFonts w:ascii="Arial" w:cs="Arial" w:eastAsia="Arial" w:hAnsi="Arial"/>
          <w:sz w:val="22"/>
          <w:szCs w:val="22"/>
        </w:rPr>
        <w:t xml:space="preserve">Use BOTH approaches depending on module quality. For well-structured modules with clear business rules (GSTech campaigns, RMX referral, SBTech Akka): Synthetic Port. For poorly-structured or over-engineered modules: Code Archaeology (mine the domain knowledge, re-implement clean). Let code quality dictate method.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Synthesis: The Merged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Applying the recommendations from each divergence point, the merged strategy can be summarized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60"/>
        <w:gridCol w:w="2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Merged Strategy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Stella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as TEMPORARY runtime (Weeks 1-8). Absorb into Phoenix core (Weeks 9-20). Hard sunset by Month 6.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Hybrid of both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GSTech (15 gaps)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Synthetic Port to Scala/Akka. 6-step pipeline. Compliance modules last with full DGE documentation.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Agreed (Doc 4 execution plan)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RMX Referral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Port to Scala. Preserve unique MPPT tree. Strategic IP, never outsource.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Agreed (both plans)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SBTech Akka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Akka components directly into Phoenix. LLM-port remaining utilities.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Agreed (both plans)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Flip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 Extraction Only. Java algorithms absorbed into Stella/Phoenix competition engine.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Agreed (both plans)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Strapi CMS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now with 12-month sunset. Evaluate Scala-native CMS replacement during that window.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Hybrid of both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 initially (Phase 4 configs). Re-evaluate SaaS at Month 6.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Doc 4 start, External fallback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lightweight tool at launch. Re-evaluate porting at Month 9 if agent count exceeds 20.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External initially, Doc 4 at scale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A/B Testing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initially (free tier). Port from GSTech later if economics justify.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External initially, Doc 4 later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Scala/Akka for all new services. Keep existing Go gateway. No new Go services.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Hybrid of both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React/Next.js. No other frontend frameworks.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Agreed (both plans)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Build-New (17 gaps)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Ground-up development. SGP, liability, arbitrage, trading UI, tax, exchange, etc.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Agreed (both plans)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Feeds/Streaming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Buy: IMG Arena, Genius Sports, Sportradar, BetRadar, video CDN.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Agreed (both plans)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Docs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LLM-generated 4-artifact strategy for DGE. Logic Mapping Matrix, Equivalence Tests, Change Impact, Audit Trail.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Doc 4 (External silent)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Methodology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Porting for well-structured modules. Code Archaeology for poorly-structured modules. Let code quality dictate.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Hybrid of both</w:t>
            </w:r>
          </w:p>
        </w:tc>
      </w:tr>
    </w:tbl>
    <w:p>
      <w:pPr>
        <w:spacing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Impact on Timeline and Cost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merged strategy changes some of Document 4's estimates: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14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4 Estimate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Merged Estimate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Stella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12-16 wks (deploy + refactor)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16-22 wks (deploy + absorb + sunset)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+4-6 wks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Absorption adds integration effort but eliminates long-term operational cost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10-14 wks (port)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wks (buy SaaS)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-10-14 wks initially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Deferred, not eliminated. May return at Month 9.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in GSTech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wks (buy initially)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-2-3 wks initially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 to later sprint if economics justify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Strapi Sunset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wks (deploy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wks + 6-8 wks later (CMS rebuild)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+6-8 wks (deferred)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Rebuilding CMS in Scala/Next.js adds effort, offset by cleaner stack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~85 wks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~77-83 wks (near-term)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-2-8 wks (near-term)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work deferred, not eliminated. Long-term may add ~12-16 wks for Stella absorption + Strapi replacement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takeaway: </w:t>
      </w:r>
      <w:r>
        <w:rPr>
          <w:rFonts w:ascii="Arial" w:cs="Arial" w:eastAsia="Arial" w:hAnsi="Arial"/>
          <w:sz w:val="22"/>
          <w:szCs w:val="22"/>
        </w:rPr>
        <w:t xml:space="preserve">The merged strategy is slightly faster near-term (buys support + A/B testing instead of building) but commits to more work long-term (Stella absorption, Strapi sunset). The 5-year TCO remains favorable because SaaS costs for support and experimentation are modest ($15-40K/yr) compared to the $137-300K/yr SaaS trap that both plans reject.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Open Questions for Decision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Stella Sunset Timeline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exactly should Stella stop running as a standalone service? Doc 4 implies indefinitely. External implies never start. The hybrid suggests Month 6. Is that realistic?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Strapi Replacement Priority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 building a Scala-native CMS worth the effort? Or is Strapi small enough to just leave running? The "no Node in production" principle is clean, but CMS is arguably not worth engineering time.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Observability SaaS Threshold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what operational burden does self-hosted Prometheus/Grafana become not worth it? Define the trigger for switching to Datadog/Grafana Cloud.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Support Tool Integration Depth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 tightly does the support tool need to integrate with bet/wallet/compliance data? If deep integration is required for regulatory reasons, the Buy option becomes harder.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Go Gateway Expansion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the existing Go gateway absorb more responsibility (rate limiting, auth, routing) or remain minimal? This affects whether Go becomes a first-class language.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Code Quality Assessment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which Phase 4 modules is Synthetic Porting appropriate vs. Code Archaeology? This requires an initial code quality audit of each platform before committing to a method.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Phoenix Strategy Alignment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2026-03-07T16:17:03.516Z</dcterms:created>
  <dcterms:modified xsi:type="dcterms:W3CDTF">2026-03-07T16:17:03.517Z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