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RIVET RIDGE RALLY</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Design review, release direction, and evidence status</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14:paraId="00000006">
            <w:pPr>
              <w:spacing w:after="0" w:line="240" w:lineRule="auto"/>
              <w:rPr>
                <w:color w:val="666666"/>
              </w:rPr>
            </w:pPr>
            <w:r>
              <w:rPr>
                <w:color w:val="666666"/>
                <w:rtl w:val="0"/>
              </w:rPr>
              <w:t>Prepared for Project Owner</w:t>
            </w:r>
          </w:p>
          <w:p w14:paraId="00000007">
            <w:pPr>
              <w:spacing w:after="0" w:line="240" w:lineRule="auto"/>
              <w:rPr>
                <w:color w:val="666666"/>
              </w:rPr>
            </w:pPr>
            <w:r>
              <w:rPr>
                <w:color w:val="666666"/>
                <w:rtl w:val="0"/>
              </w:rPr>
              <w:t>July 2026</w:t>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936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2</w:t>
            </w:r>
          </w:hyperlink>
          <w:r>
            <w:rPr>
              <w:rtl w:val="0"/>
            </w:rPr>
          </w:r>
        </w:p>
        <w:p w14:paraId="0000000C">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At a glance</w:t>
              <w:tab/>
              <w:t xml:space="preserve">2</w:t>
            </w:r>
          </w:hyperlink>
          <w:r>
            <w:rPr>
              <w:rtl w:val="0"/>
            </w:rPr>
          </w:r>
        </w:p>
        <w:p w14:paraId="0000000D">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Introduction</w:t>
              <w:tab/>
              <w:t xml:space="preserve">2</w:t>
            </w:r>
          </w:hyperlink>
          <w:r>
            <w:rPr>
              <w:rtl w:val="0"/>
            </w:rPr>
          </w:r>
        </w:p>
        <w:p w14:paraId="0000000E">
          <w:pPr>
            <w:widowControl w:val="0"/>
            <w:tabs>
              <w:tab w:val="right" w:leader="dot" w:pos="936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Key findings</w:t>
              <w:tab/>
              <w:t xml:space="preserve">3</w:t>
            </w:r>
          </w:hyperlink>
          <w:r>
            <w:rPr>
              <w:rtl w:val="0"/>
            </w:rPr>
          </w:r>
        </w:p>
        <w:p w14:paraId="0000000F">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Context and conditions</w:t>
              <w:tab/>
              <w:t xml:space="preserve">3</w:t>
            </w:r>
          </w:hyperlink>
          <w:r>
            <w:rPr>
              <w:rtl w:val="0"/>
            </w:rPr>
          </w:r>
        </w:p>
        <w:p w14:paraId="00000010">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Patterns in the evidence</w:t>
              <w:tab/>
              <w:t xml:space="preserve">3</w:t>
            </w:r>
          </w:hyperlink>
          <w:r>
            <w:rPr>
              <w:rtl w:val="0"/>
            </w:rPr>
          </w:r>
        </w:p>
        <w:p w14:paraId="00000011">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Implications</w:t>
              <w:tab/>
              <w:t xml:space="preserve">3</w:t>
            </w:r>
          </w:hyperlink>
          <w:r>
            <w:rPr>
              <w:rtl w:val="0"/>
            </w:rPr>
          </w:r>
        </w:p>
        <w:p w14:paraId="00000012">
          <w:pPr>
            <w:widowControl w:val="0"/>
            <w:tabs>
              <w:tab w:val="right" w:leader="dot" w:pos="936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4</w:t>
            </w:r>
          </w:hyperlink>
          <w:r>
            <w:rPr>
              <w:rtl w:val="0"/>
            </w:rPr>
          </w:r>
        </w:p>
        <w:p w14:paraId="00000013">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Conclusion</w:t>
              <w:tab/>
              <w:t xml:space="preserve">4</w:t>
            </w:r>
          </w:hyperlink>
          <w:r>
            <w:rPr>
              <w:rtl w:val="0"/>
            </w:rPr>
          </w:r>
        </w:p>
        <w:p w14:paraId="00000014">
          <w:pPr>
            <w:widowControl w:val="0"/>
            <w:tabs>
              <w:tab w:val="right" w:leader="dot" w:pos="936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w:t>
              <w:tab/>
              <w:t xml:space="preserve">5</w:t>
            </w:r>
          </w:hyperlink>
          <w:r>
            <w:rPr>
              <w:rtl w:val="0"/>
            </w:rPr>
          </w:r>
        </w:p>
        <w:p w14:paraId="00000015">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Notes</w:t>
              <w:tab/>
              <w:t xml:space="preserve">5</w:t>
            </w:r>
          </w:hyperlink>
          <w:r>
            <w:rPr>
              <w:rtl w:val="0"/>
            </w:rPr>
          </w:r>
        </w:p>
        <w:p w14:paraId="00000016">
          <w:pPr>
            <w:widowControl w:val="0"/>
            <w:tabs>
              <w:tab w:val="right" w:leader="dot" w:pos="936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Evidence sources</w:t>
              <w:tab/>
              <w:t xml:space="preserve">5</w:t>
            </w:r>
          </w:hyperlink>
          <w:r>
            <w:rPr>
              <w:rtl w:val="0"/>
            </w:rPr>
          </w:r>
          <w:r>
            <w:fldChar w:fldCharType="end"/>
          </w:r>
        </w:p>
      </w:sdtContent>
    </w:sdt>
    <w:bookmarkStart w:colFirst="0" w:colLast="0" w:name="bookmark=id.i23wo83gyh7m" w:id="1"/>
    <w:bookmarkEnd w:id="1"/>
    <w:p w14:paraId="00000017">
      <w:pPr>
        <w:pStyle w:val="Heading1"/>
        <w:pageBreakBefore w:val="1"/>
        <w:rPr/>
      </w:pPr>
      <w:r>
        <w:rPr>
          <w:rtl w:val="0"/>
        </w:rPr>
        <w:t xml:space="preserve">Executive summary</w:t>
      </w:r>
    </w:p>
    <w:p w14:paraId="00000018">
      <w:pPr>
        <w:rPr/>
      </w:pPr>
      <w:r>
        <w:rPr>
          <w:rtl w:val="0"/>
        </w:rPr>
        <w:t>RIVET RIDGE RALLY 1.0.0-rc.2 source includes arrow-cluster lane defaults, conflict-safe legacy migration, a comprehensive 12-lesson plus two-drill Rider School, and a broad but unaccepted concept-led visual response.</w:t>
      </w:r>
    </w:p>
    <w:p w14:paraId="00000019">
      <w:pPr>
        <w:rPr/>
      </w:pPr>
      <w:r>
        <w:rPr>
          <w:rtl w:val="0"/>
        </w:rPr>
        <w:t>The candidate is not release-qualified. Test automation remains paused by owner request; the latest source corrections remain behaviorally unverified, concept fidelity is NOT ACCEPTED, and QA, performance, smoke, source-identity, and owner gates remain open. Decision: NOT READY.</w:t>
      </w:r>
    </w:p>
    <w:bookmarkStart w:colFirst="0" w:colLast="0" w:name="bookmark=id.1sqjewf8afxt" w:id="2"/>
    <w:bookmarkEnd w:id="2"/>
    <w:p w14:paraId="0000001A">
      <w:pPr>
        <w:pStyle w:val="Heading2"/>
        <w:rPr/>
      </w:pPr>
      <w:r>
        <w:rPr>
          <w:rtl w:val="0"/>
        </w:rPr>
        <w:t xml:space="preserve">At a glance</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10:26:16–10:26:21 CEST build PASS (scoped): asset verifier, strict typecheck, Vite compile, notices; 24 files / 6,679,904 bytes; shell-v30.</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Source reviews found no current P0; included corrections and regression source remain unexecuted and UNVERIFIED.</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Concept visuals are NOT ACCEPTED; no current browser or physical-device review ran.</w:t>
      </w:r>
    </w:p>
    <w:bookmarkStart w:colFirst="0" w:colLast="0" w:name="bookmark=id.4t4jj91ycfx" w:id="3"/>
    <w:bookmarkEnd w:id="3"/>
    <w:p w14:paraId="0000001E">
      <w:pPr>
        <w:pStyle w:val="Heading2"/>
        <w:rPr/>
      </w:pPr>
      <w:r>
        <w:rPr>
          <w:rtl w:val="0"/>
        </w:rPr>
        <w:t xml:space="preserve">Introduction</w:t>
      </w:r>
    </w:p>
    <w:p w14:paraId="0000001F">
      <w:pPr>
        <w:rPr/>
      </w:pPr>
      <w:r>
        <w:rPr>
          <w:rtl w:val="0"/>
        </w:rPr>
        <w:t>This report consolidates the project's design, specification, QA, readiness, asset, and fidelity records as of 15 July 2026. It separates the permitted 10:26 build's scoped compilation evidence, retained historical results, and intentionally paused validation.</w:t>
      </w:r>
    </w:p>
    <w:p w14:paraId="00000020">
      <w:pPr>
        <w:rPr/>
      </w:pPr>
      <w:r>
        <w:rPr>
          <w:rtl w:val="0"/>
        </w:rPr>
        <w:t>Its purpose is to close the player's control, tutorial, and concept-art concerns, record the neutral folder move, and define the shortest honest path to one qualified candidate.</w:t>
      </w:r>
    </w:p>
    <w:bookmarkStart w:colFirst="0" w:colLast="0" w:name="bookmark=id.xx7bxdemqiq" w:id="4"/>
    <w:bookmarkEnd w:id="4"/>
    <w:p w14:paraId="00000021">
      <w:pPr>
        <w:pStyle w:val="Heading1"/>
        <w:pageBreakBefore w:val="1"/>
        <w:rPr/>
      </w:pPr>
      <w:r>
        <w:rPr>
          <w:rtl w:val="0"/>
        </w:rPr>
        <w:t xml:space="preserve">Key findings</w:t>
      </w:r>
    </w:p>
    <w:p w14:paraId="00000022">
      <w:pPr>
        <w:rPr/>
      </w:pPr>
      <w:r>
        <w:rPr>
          <w:rtl w:val="0"/>
        </w:rPr>
        <w:t>Corrections cover truthful HUD/results and crash counting; held-touch priority; long-route editing and one 500-module ceiling; selective, atomic profile/track/replay recovery; exact failed Test Ride retry; bounded recovery export; and short-phone accessibility. Regression source exists; all behaviors remain unverified.</w:t>
      </w:r>
    </w:p>
    <w:p w14:paraId="00000023">
      <w:pPr>
        <w:pStyle w:val="Heading2"/>
        <w:rPr/>
      </w:pPr>
      <w:r>
        <w:rPr>
          <w:rtl w:val="0"/>
        </w:rPr>
        <w:t xml:space="preserve">Context and conditions</w:t>
      </w:r>
    </w:p>
    <w:p w14:paraId="00000024">
      <w:pPr>
        <w:rPr/>
      </w:pPr>
      <w:r>
        <w:rPr>
          <w:rtl w:val="0"/>
        </w:rPr>
        <w:t>ArrowLeft and ArrowRight are lane defaults; exact historical A/D saves migrate without destroying occupied arrow actions. Rider School implements fresh ordered evidence, focused retry, 12 lessons, two drills, and adaptive prompts.</w:t>
      </w:r>
    </w:p>
    <w:p w14:paraId="00000025">
      <w:pPr>
        <w:pStyle w:val="Heading2"/>
        <w:rPr/>
      </w:pPr>
      <w:r>
        <w:rPr>
          <w:rtl w:val="0"/>
        </w:rPr>
        <w:t xml:space="preserve">Patterns in the evidence</w:t>
      </w:r>
    </w:p>
    <w:p w14:paraId="00000026">
      <w:pPr>
        <w:rPr/>
      </w:pPr>
      <w:r>
        <w:rPr>
          <w:rtl w:val="0"/>
        </w:rPr>
        <w:t>The permitted 10:26:16–10:26:21 CEST normal build passed the asset verifier, strict typecheck, Vite production compilation, and notices. Lint, unit, browser, audit, manifest, smoke, performance, and soak were not run; automation remains paused.</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Key takeaway. </w:t>
      </w:r>
      <w:r>
        <w:rPr>
          <w:rFonts w:ascii="Helvetica Neue" w:cs="Helvetica Neue" w:eastAsia="Helvetica Neue" w:hAnsi="Helvetica Neue"/>
          <w:b w:val="0"/>
          <w:bCs w:val="0"/>
          <w:i w:val="0"/>
          <w:iCs w:val="0"/>
          <w:smallCaps w:val="0"/>
          <w:strike w:val="0"/>
          <w:color w:val="000000"/>
          <w:u w:val="none"/>
          <w:shd w:fill="auto" w:val="clear"/>
          <w:vertAlign w:val="baseline"/>
          <w:rtl w:val="0"/>
        </w:rPr>
        <w:t>Accept or bound the current visual direction before freezing source and rerunning the browser, device, performance, and artifact matrix.</w:t>
      </w:r>
      <w:r>
        <w:rPr>
          <w:rtl w:val="0"/>
        </w:rPr>
      </w:r>
    </w:p>
    <w:p w14:paraId="00000029">
      <w:pPr>
        <w:pStyle w:val="Heading2"/>
        <w:rPr/>
      </w:pPr>
      <w:r>
        <w:rPr>
          <w:rtl w:val="0"/>
        </w:rPr>
      </w:r>
    </w:p>
    <w:bookmarkStart w:colFirst="0" w:colLast="0" w:name="bookmark=id.suv0vlq0gz4r" w:id="5"/>
    <w:bookmarkEnd w:id="5"/>
    <w:p w14:paraId="0000002A">
      <w:pPr>
        <w:pStyle w:val="Heading2"/>
        <w:rPr/>
      </w:pPr>
      <w:r>
        <w:rPr>
          <w:rtl w:val="0"/>
        </w:rPr>
        <w:t xml:space="preserve">Implications</w:t>
      </w:r>
    </w:p>
    <w:p w14:paraId="0000002B">
      <w:pPr>
        <w:rPr/>
      </w:pPr>
      <w:r>
        <w:rPr>
          <w:rtl w:val="0"/>
        </w:rPr>
        <w:t>A shared route, dirt relief, bikes, Canyon matte, venues, safety wall, cactus, and font target the concepts. Static review still flags grade, jump, density, venue-kit, and winding-editor gaps.</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Theme</w:t>
            </w:r>
            <w:r>
              <w:rPr>
                <w:rtl w:val="0"/>
              </w:rPr>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Observation</w:t>
            </w:r>
            <w:r>
              <w:rPr>
                <w:rtl w:val="0"/>
              </w:rPr>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Implication</w:t>
            </w:r>
            <w:r>
              <w:rPr>
                <w:rtl w:val="0"/>
              </w:rPr>
            </w:r>
          </w:p>
        </w:tc>
      </w:tr>
      <w:tr>
        <w:trPr>
          <w:cantSplit w:val="0"/>
          <w:tblHeader w:val="0"/>
        </w:trPr>
        <w:tc>
          <w:tcPr>
            <w:shd w:fill="ffffff" w:val="clear"/>
            <w:tcMar>
              <w:top w:w="110.0" w:type="dxa"/>
              <w:bottom w:w="110.0" w:type="dxa"/>
            </w:tcMar>
            <w:vAlign w:val="center"/>
          </w:tcPr>
          <w:p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Controls</w:t>
            </w:r>
          </w:p>
        </w:tc>
        <w:tc>
          <w:tcPr>
            <w:shd w:fill="ffffff" w:val="clear"/>
            <w:tcMar>
              <w:top w:w="110.0" w:type="dxa"/>
              <w:bottom w:w="110.0" w:type="dxa"/>
            </w:tcMar>
            <w:vAlign w:val="center"/>
          </w:tcPr>
          <w:p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Arrow defaults; conflict-safe legacy migration.</w:t>
            </w:r>
          </w:p>
        </w:tc>
        <w:tc>
          <w:tcPr>
            <w:shd w:fill="ffffff" w:val="clear"/>
            <w:tcMar>
              <w:top w:w="110.0" w:type="dxa"/>
              <w:bottom w:w="110.0" w:type="dxa"/>
            </w:tcMar>
            <w:vAlign w:val="center"/>
          </w:tcPr>
          <w:p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Current behavior run paused; UNVERIFIED.</w:t>
            </w:r>
          </w:p>
        </w:tc>
      </w:tr>
      <w:tr>
        <w:trPr>
          <w:cantSplit w:val="0"/>
          <w:tblHeader w:val="0"/>
        </w:trPr>
        <w:tc>
          <w:tcPr>
            <w:shd w:fill="ffffff" w:val="clear"/>
            <w:tcMar>
              <w:top w:w="110.0" w:type="dxa"/>
              <w:bottom w:w="110.0" w:type="dxa"/>
            </w:tcMar>
            <w:vAlign w:val="center"/>
          </w:tcPr>
          <w:p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Tutorial</w:t>
            </w:r>
          </w:p>
        </w:tc>
        <w:tc>
          <w:tcPr>
            <w:shd w:fill="ffffff" w:val="clear"/>
            <w:tcMar>
              <w:top w:w="110.0" w:type="dxa"/>
              <w:bottom w:w="110.0" w:type="dxa"/>
            </w:tcMar>
            <w:vAlign w:val="center"/>
          </w:tcPr>
          <w:p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12 lessons + 2 drills; retry and recap.</w:t>
            </w:r>
          </w:p>
        </w:tc>
        <w:tc>
          <w:tcPr>
            <w:shd w:fill="ffffff" w:val="clear"/>
            <w:tcMar>
              <w:top w:w="110.0" w:type="dxa"/>
              <w:bottom w:w="110.0" w:type="dxa"/>
            </w:tcMar>
            <w:vAlign w:val="center"/>
          </w:tcPr>
          <w:p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Comprehensive in source; UNVERIFIED.</w:t>
            </w:r>
          </w:p>
        </w:tc>
      </w:tr>
      <w:tr>
        <w:trPr>
          <w:cantSplit w:val="0"/>
          <w:tblHeader w:val="0"/>
        </w:trPr>
        <w:tc>
          <w:tcPr>
            <w:shd w:fill="ffffff" w:val="clear"/>
            <w:tcMar>
              <w:top w:w="110.0" w:type="dxa"/>
              <w:bottom w:w="110.0" w:type="dxa"/>
            </w:tcMar>
            <w:vAlign w:val="center"/>
          </w:tcPr>
          <w:p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Visuals</w:t>
            </w:r>
          </w:p>
        </w:tc>
        <w:tc>
          <w:tcPr>
            <w:shd w:fill="ffffff" w:val="clear"/>
            <w:tcMar>
              <w:top w:w="110.0" w:type="dxa"/>
              <w:bottom w:w="110.0" w:type="dxa"/>
            </w:tcMar>
            <w:vAlign w:val="center"/>
          </w:tcPr>
          <w:p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Route/dirt/bikes/matte; grade, jump, density gaps open.</w:t>
            </w:r>
          </w:p>
        </w:tc>
        <w:tc>
          <w:tcPr>
            <w:shd w:fill="ffffff" w:val="clear"/>
            <w:tcMar>
              <w:top w:w="110.0" w:type="dxa"/>
              <w:bottom w:w="110.0" w:type="dxa"/>
            </w:tcMar>
            <w:vAlign w:val="center"/>
          </w:tcPr>
          <w:p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0"/>
                <w:bCs w:val="0"/>
                <w:i w:val="0"/>
                <w:iCs w:val="0"/>
                <w:smallCaps w:val="0"/>
                <w:strike w:val="0"/>
                <w:color w:val="000000"/>
                <w:sz w:val="18"/>
                <w:szCs w:val="18"/>
                <w:u w:val="none"/>
                <w:shd w:fill="auto" w:val="clear"/>
                <w:vertAlign w:val="baseline"/>
                <w:rtl w:val="0"/>
              </w:rPr>
              <w:t>NOT CAPTURED / NOT ACCEPTED.</w:t>
            </w:r>
          </w:p>
        </w:tc>
      </w:tr>
    </w:tbl>
    <w:bookmarkStart w:colFirst="0" w:colLast="0" w:name="bookmark=id.vvr4bduzzdc0" w:id="6"/>
    <w:bookmarkEnd w:id="6"/>
    <w:p w14:paraId="00000038">
      <w:pPr>
        <w:pStyle w:val="Heading1"/>
        <w:pageBreakBefore w:val="1"/>
        <w:rPr/>
      </w:pPr>
      <w:r>
        <w:rPr>
          <w:rtl w:val="0"/>
        </w:rPr>
        <w:t xml:space="preserve">Recommendations</w:t>
      </w:r>
    </w:p>
    <w:p w14:paraId="00000039">
      <w:pPr>
        <w:rPr/>
      </w:pPr>
      <w:r>
        <w:rPr>
          <w:rtl w:val="0"/>
        </w:rPr>
        <w:t>Close the remaining risk in this order: accept the visual target, resume current-candidate behavior and device checks, then freeze, track, tag, and bind one exact candidate.</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Review the visual response.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Capture desktop, portrait, high-contrast, all five tracks, fallback bike, font, and authored-course isolation; accept them or issue bounded revisions.</w:t>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Resume validation.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Run the current static, unit, browser, accessibility, physical-input, performance, soak, audit, and offline gates; observe first-time players.</w:t>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rFonts w:ascii="Helvetica Neue" w:cs="Helvetica Neue" w:eastAsia="Helvetica Neue" w:hAnsi="Helvetica Neue"/>
          <w:b w:val="1"/>
          <w:bCs w:val="1"/>
          <w:i w:val="0"/>
          <w:iCs w:val="0"/>
          <w:smallCaps w:val="0"/>
          <w:strike w:val="0"/>
          <w:color w:val="000000"/>
          <w:sz w:val="22"/>
          <w:szCs w:val="22"/>
          <w:u w:val="none"/>
          <w:shd w:fill="auto" w:val="clear"/>
          <w:vertAlign w:val="baseline"/>
          <w:rtl w:val="0"/>
        </w:rPr>
        <w:t xml:space="preserve">Freeze and bind. </w:t>
      </w: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Verify every intended input is tracked in one clean commit, then create an annotated tag, then generate the format-2 manifest and atomic manifest-bound smoke evidence.</w:t>
      </w:r>
    </w:p>
    <w:bookmarkStart w:colFirst="0" w:colLast="0" w:name="bookmark=id.rl3o3rp5qmnq" w:id="7"/>
    <w:bookmarkEnd w:id="7"/>
    <w:p w14:paraId="0000003D">
      <w:pPr>
        <w:pStyle w:val="Heading2"/>
        <w:rPr/>
      </w:pPr>
      <w:r>
        <w:rPr>
          <w:rtl w:val="0"/>
        </w:rPr>
        <w:t xml:space="preserve">Conclusion</w:t>
      </w:r>
    </w:p>
    <w:p w14:paraId="0000003E">
      <w:pPr>
        <w:rPr/>
      </w:pPr>
      <w:r>
        <w:rPr>
          <w:rtl w:val="0"/>
        </w:rPr>
        <w:t>The permitted 10:26 build is coherent in its narrow scope, includes the current source corrections, and the neutral workspace move is complete. These are material gains, not behavioral or launch qualification while validation remains paused.</w:t>
      </w:r>
    </w:p>
    <w:p w14:paraId="0000003F">
      <w:pPr>
        <w:rPr/>
      </w:pPr>
      <w:r>
        <w:rPr>
          <w:rtl w:val="0"/>
        </w:rPr>
        <w:t>Keep status at NOT READY until current QA, performance, audit, manifest, and smoke evidence; visual and physical review; immutable identity; and owner commercial actions close.</w:t>
      </w:r>
    </w:p>
    <w:bookmarkStart w:colFirst="0" w:colLast="0" w:name="bookmark=id.cf45595vup8a" w:id="8"/>
    <w:bookmarkEnd w:id="8"/>
    <w:p w14:paraId="00000040">
      <w:pPr>
        <w:pStyle w:val="Heading1"/>
        <w:pageBreakBefore w:val="1"/>
        <w:rPr/>
      </w:pPr>
      <w:r>
        <w:rPr>
          <w:rtl w:val="0"/>
        </w:rPr>
        <w:t xml:space="preserve">Appendix</w:t>
      </w:r>
    </w:p>
    <w:bookmarkStart w:colFirst="0" w:colLast="0" w:name="bookmark=id.ptrg31dozyqs" w:id="9"/>
    <w:bookmarkEnd w:id="9"/>
    <w:p w14:paraId="00000041">
      <w:pPr>
        <w:pStyle w:val="Heading2"/>
        <w:rPr/>
      </w:pPr>
      <w:r>
        <w:rPr>
          <w:rtl w:val="0"/>
        </w:rPr>
        <w:t xml:space="preserve">Notes</w:t>
      </w:r>
    </w:p>
    <w:p w14:paraId="00000042">
      <w:pPr>
        <w:rPr/>
      </w:pPr>
      <w:r>
        <w:rPr>
          <w:rtl w:val="0"/>
        </w:rPr>
        <w:t>Evidence is scoped exactly: the permitted 2026-07-15 10:26:16–10:26:21 CEST normal build is PASS only for the build-time asset verifier, strict typecheck, Vite compilation, and notices. It produced 24 files / 6,679,904 bytes with shell-v30; 1,418-byte index.html SHA-256 4252cb572300d9e2dd838b7e39f8440b8b40b6762556e17cd9f3d7b44690f433; 43,825-byte notices SHA-256 5fa8f7b4aaf95b4cc28b9b36a10c7f451e0ef83e6ac959d530ed3fdceacb60d0; and 5,722-byte sw.js SHA-256 f5cc9b23c2d507b9cede7a11cd72f62d05549c4ae72888853b5191d4cb6b78ca.</w:t>
      </w:r>
    </w:p>
    <w:p w14:paraId="00000043">
      <w:pPr>
        <w:rPr/>
      </w:pPr>
      <w:r>
        <w:rPr>
          <w:rtl w:val="0"/>
        </w:rPr>
        <w:t>Repository: the neutral Rivet Ridge Rally workspace. The build embeds commit 62664b1f8ba814f3ec685d228fa4e600e6e7dc84 with dirty=true, so it is development evidence—not an immutable final artifact. Current corrections compile; automation remains paused; owner acceptance remains open.</w:t>
      </w:r>
    </w:p>
    <w:bookmarkStart w:colFirst="0" w:colLast="0" w:name="bookmark=id.nnk1eebni0ji" w:id="10"/>
    <w:bookmarkEnd w:id="10"/>
    <w:p w14:paraId="00000044">
      <w:pPr>
        <w:pStyle w:val="Heading2"/>
        <w:rPr/>
      </w:pPr>
      <w:r>
        <w:rPr>
          <w:rtl w:val="0"/>
        </w:rPr>
        <w:t>Evidence sources</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README.md, GAME_BIBLE.md, GAME_SPEC.md, and ARCHITECTURE.md.</w:t>
      </w:r>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QA_REPORT.md and LAUNCH_READINESS.md, including scoped PASS, FAIL, and UNVERIFIED evidence.</w:t>
      </w:r>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ASSET_LICENSES.md and docs/design/FIDELITY_LEDGER.md.</w:t>
      </w:r>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Owner feedback: arrow controls, tutorial completeness, concept-art fidelity, and test pause.</w:t>
      </w:r>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rPr>
          <w:rFonts w:ascii="Helvetica Neue" w:cs="Helvetica Neue" w:eastAsia="Helvetica Neue" w:hAnsi="Helvetica Neue"/>
          <w:b w:val="1"/>
          <w:bCs w:val="1"/>
          <w:i w:val="0"/>
          <w:iCs w:val="0"/>
          <w:smallCaps w:val="0"/>
          <w:strike w:val="0"/>
          <w:color w:val="000000"/>
          <w:u w:val="none"/>
          <w:shd w:fill="auto" w:val="clear"/>
          <w:vertAlign w:val="baseline"/>
          <w:rtl w:val="0"/>
        </w:rPr>
        <w:t xml:space="preserve">Status note. </w:t>
      </w:r>
      <w:r>
        <w:rPr>
          <w:rFonts w:ascii="Helvetica Neue" w:cs="Helvetica Neue" w:eastAsia="Helvetica Neue" w:hAnsi="Helvetica Neue"/>
          <w:b w:val="0"/>
          <w:bCs w:val="0"/>
          <w:i w:val="0"/>
          <w:iCs w:val="0"/>
          <w:smallCaps w:val="0"/>
          <w:strike w:val="0"/>
          <w:color w:val="000000"/>
          <w:u w:val="none"/>
          <w:shd w:fill="auto" w:val="clear"/>
          <w:vertAlign w:val="baseline"/>
          <w:rtl w:val="0"/>
        </w:rPr>
        <w:t>The candidate remains NOT READY: concept acceptance, current QA/performance/audit/manifest/smoke, immutable identity, and owner legal/hosting actions remain open.</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RIVET RIDGE RALLY</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15 July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