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sz w:val="28"/>
          <w:szCs w:val="28"/>
        </w:rPr>
        <w:t xml:space="preserve">GENERAL ASSEMBLER NON-PROVISIONAL</w:t>
      </w:r>
    </w:p>
    <w:p>
      <w:pPr>
        <w:spacing w:after="80" w:before="0"/>
        <w:jc w:val="center"/>
      </w:pPr>
      <w:r>
        <w:rPr>
          <w:rFonts w:ascii="Arial" w:cs="Arial" w:eastAsia="Arial" w:hAnsi="Arial"/>
          <w:b/>
          <w:bCs/>
          <w:color w:val="185FA5"/>
          <w:sz w:val="24"/>
          <w:szCs w:val="24"/>
        </w:rPr>
        <w:t xml:space="preserve">SPECIFICATION ADDITIONS — INSERTION-READY PARAGRAPHS</w:t>
      </w:r>
    </w:p>
    <w:p>
      <w:pPr>
        <w:spacing w:after="80" w:before="0"/>
        <w:jc w:val="center"/>
      </w:pPr>
      <w:r>
        <w:rPr>
          <w:rFonts w:ascii="Arial" w:cs="Arial" w:eastAsia="Arial" w:hAnsi="Arial"/>
          <w:i/>
          <w:iCs/>
          <w:color w:val="666666"/>
          <w:sz w:val="20"/>
          <w:szCs w:val="20"/>
        </w:rPr>
        <w:t xml:space="preserve">Each block is headed by INSERT AFTER [00XX] — drop paragraphs into the existing document at that location.</w:t>
      </w:r>
    </w:p>
    <w:p>
      <w:pPr>
        <w:spacing w:after="320" w:before="0"/>
        <w:jc w:val="center"/>
      </w:pPr>
      <w:r>
        <w:rPr>
          <w:rFonts w:ascii="Arial" w:cs="Arial" w:eastAsia="Arial" w:hAnsi="Arial"/>
          <w:color w:val="666666"/>
          <w:sz w:val="20"/>
          <w:szCs w:val="20"/>
        </w:rPr>
        <w:t xml:space="preserve">Inventor: Jimmy Claude Brake Jr   |   April 2026</w:t>
      </w:r>
    </w:p>
    <w:p>
      <w:pPr>
        <w:spacing w:after="80" w:before="0"/>
      </w:pPr>
      <w:r>
        <w:rPr>
          <w:rFonts w:ascii="Arial" w:cs="Arial" w:eastAsia="Arial" w:hAnsi="Arial"/>
          <w:b/>
          <w:bCs/>
          <w:sz w:val="24"/>
          <w:szCs w:val="24"/>
        </w:rPr>
        <w:t xml:space="preserve">INSERTION MAP — SUMMARY</w:t>
      </w:r>
    </w:p>
    <w:p>
      <w:pPr>
        <w:spacing w:after="100" w:before="0"/>
        <w:ind w:left="720"/>
      </w:pPr>
      <w:r>
        <w:rPr>
          <w:rFonts w:ascii="Arial" w:cs="Arial" w:eastAsia="Arial" w:hAnsi="Arial"/>
          <w:b/>
          <w:bCs/>
          <w:sz w:val="20"/>
          <w:szCs w:val="20"/>
        </w:rPr>
        <w:t xml:space="preserve">Insertion 1 — After [0009]:  </w:t>
      </w:r>
      <w:r>
        <w:rPr>
          <w:rFonts w:ascii="Arial" w:cs="Arial" w:eastAsia="Arial" w:hAnsi="Arial"/>
          <w:i/>
          <w:iCs/>
          <w:sz w:val="20"/>
          <w:szCs w:val="20"/>
        </w:rPr>
        <w:t xml:space="preserve">Background: Andrade / Trinh / Wang / Rossiter prior art with differentiation. (6 paragraphs)</w:t>
      </w:r>
    </w:p>
    <w:p>
      <w:pPr>
        <w:spacing w:after="100" w:before="0"/>
        <w:ind w:left="720"/>
      </w:pPr>
      <w:r>
        <w:rPr>
          <w:rFonts w:ascii="Arial" w:cs="Arial" w:eastAsia="Arial" w:hAnsi="Arial"/>
          <w:b/>
          <w:bCs/>
          <w:sz w:val="20"/>
          <w:szCs w:val="20"/>
        </w:rPr>
        <w:t xml:space="preserve">Insertion 2 — After [0032]:  </w:t>
      </w:r>
      <w:r>
        <w:rPr>
          <w:rFonts w:ascii="Arial" w:cs="Arial" w:eastAsia="Arial" w:hAnsi="Arial"/>
          <w:i/>
          <w:iCs/>
          <w:sz w:val="20"/>
          <w:szCs w:val="20"/>
        </w:rPr>
        <w:t xml:space="preserve">Definitions: Andrade Cell, Axial Quiet Zone, Gap Distance, Gravity Suppression. (4 paragraphs)</w:t>
      </w:r>
    </w:p>
    <w:p>
      <w:pPr>
        <w:spacing w:after="100" w:before="0"/>
        <w:ind w:left="720"/>
      </w:pPr>
      <w:r>
        <w:rPr>
          <w:rFonts w:ascii="Arial" w:cs="Arial" w:eastAsia="Arial" w:hAnsi="Arial"/>
          <w:b/>
          <w:bCs/>
          <w:sz w:val="20"/>
          <w:szCs w:val="20"/>
        </w:rPr>
        <w:t xml:space="preserve">Insertion 3 — After [0039]:  </w:t>
      </w:r>
      <w:r>
        <w:rPr>
          <w:rFonts w:ascii="Arial" w:cs="Arial" w:eastAsia="Arial" w:hAnsi="Arial"/>
          <w:i/>
          <w:iCs/>
          <w:sz w:val="20"/>
          <w:szCs w:val="20"/>
        </w:rPr>
        <w:t xml:space="preserve">New Section 2.5: Toroidal vortex structure, axial quiet zone, d_gap=lambda/4 derivation. (8 paragraphs)</w:t>
      </w:r>
    </w:p>
    <w:p>
      <w:pPr>
        <w:spacing w:after="100" w:before="0"/>
        <w:ind w:left="720"/>
      </w:pPr>
      <w:r>
        <w:rPr>
          <w:rFonts w:ascii="Arial" w:cs="Arial" w:eastAsia="Arial" w:hAnsi="Arial"/>
          <w:b/>
          <w:bCs/>
          <w:sz w:val="20"/>
          <w:szCs w:val="20"/>
        </w:rPr>
        <w:t xml:space="preserve">Insertion 4 — After [0062]:  </w:t>
      </w:r>
      <w:r>
        <w:rPr>
          <w:rFonts w:ascii="Arial" w:cs="Arial" w:eastAsia="Arial" w:hAnsi="Arial"/>
          <w:i/>
          <w:iCs/>
          <w:sz w:val="20"/>
          <w:szCs w:val="20"/>
        </w:rPr>
        <w:t xml:space="preserve">Section 7 strengthening: Buoyancy timescale calculation with numbers. (2 paragraphs)</w:t>
      </w:r>
    </w:p>
    <w:p>
      <w:pPr>
        <w:spacing w:after="100" w:before="0"/>
        <w:ind w:left="720"/>
      </w:pPr>
      <w:r>
        <w:rPr>
          <w:rFonts w:ascii="Arial" w:cs="Arial" w:eastAsia="Arial" w:hAnsi="Arial"/>
          <w:b/>
          <w:bCs/>
          <w:sz w:val="20"/>
          <w:szCs w:val="20"/>
        </w:rPr>
        <w:t xml:space="preserve">Insertion 5 — After [0077]:  </w:t>
      </w:r>
      <w:r>
        <w:rPr>
          <w:rFonts w:ascii="Arial" w:cs="Arial" w:eastAsia="Arial" w:hAnsi="Arial"/>
          <w:i/>
          <w:iCs/>
          <w:sz w:val="20"/>
          <w:szCs w:val="20"/>
        </w:rPr>
        <w:t xml:space="preserve">Section 11 addition: Five-stage thermal gradient architecture. (6 paragraphs)</w:t>
      </w:r>
    </w:p>
    <w:p>
      <w:pPr>
        <w:spacing w:after="100" w:before="0"/>
        <w:ind w:left="720"/>
      </w:pPr>
      <w:r>
        <w:rPr>
          <w:rFonts w:ascii="Arial" w:cs="Arial" w:eastAsia="Arial" w:hAnsi="Arial"/>
          <w:b/>
          <w:bCs/>
          <w:sz w:val="20"/>
          <w:szCs w:val="20"/>
        </w:rPr>
        <w:t xml:space="preserve">Insertion 6 — [0078] counsel flag:  </w:t>
      </w:r>
      <w:r>
        <w:rPr>
          <w:rFonts w:ascii="Arial" w:cs="Arial" w:eastAsia="Arial" w:hAnsi="Arial"/>
          <w:i/>
          <w:iCs/>
          <w:sz w:val="20"/>
          <w:szCs w:val="20"/>
        </w:rPr>
        <w:t xml:space="preserve">Neural glutamate claim needs literature citation before filing.</w:t>
      </w:r>
    </w:p>
    <w:p>
      <w:pPr>
        <w:pBdr>
          <w:bottom w:val="single" w:color="CCCCCC" w:sz="4"/>
        </w:pBdr>
        <w:spacing w:after="240" w:before="240"/>
      </w:pPr>
      <w:r>
        <w:t xml:space="preserve"/>
      </w:r>
    </w:p>
    <w:p>
      <w:pPr>
        <w:pBdr>
          <w:top w:val="single" w:color="185FA5" w:sz="12"/>
        </w:pBdr>
        <w:spacing w:after="0" w:before="360"/>
      </w:pPr>
      <w:r>
        <w:rPr>
          <w:rFonts w:ascii="Arial" w:cs="Arial" w:eastAsia="Arial" w:hAnsi="Arial"/>
          <w:b/>
          <w:bCs/>
          <w:color w:val="185FA5"/>
          <w:sz w:val="20"/>
          <w:szCs w:val="20"/>
        </w:rPr>
        <w:t xml:space="preserve">INSERT AFTER [0009]</w:t>
      </w:r>
    </w:p>
    <w:p>
      <w:pPr>
        <w:spacing w:after="160" w:before="4"/>
      </w:pPr>
      <w:r>
        <w:rPr>
          <w:rFonts w:ascii="Arial" w:cs="Arial" w:eastAsia="Arial" w:hAnsi="Arial"/>
          <w:b/>
          <w:bCs/>
          <w:color w:val="185FA5"/>
          <w:sz w:val="22"/>
          <w:szCs w:val="22"/>
        </w:rPr>
        <w:t xml:space="preserve">INSERTION 1 — Background Section II.B: Toroidal Inter-Nodal Cell Prior Art</w:t>
      </w:r>
    </w:p>
    <w:p>
      <w:pPr>
        <w:spacing w:after="160" w:before="0" w:line="276"/>
        <w:jc w:val="both"/>
      </w:pPr>
      <w:r>
        <w:rPr>
          <w:rFonts w:ascii="Arial" w:cs="Arial" w:eastAsia="Arial" w:hAnsi="Arial"/>
          <w:b/>
          <w:bCs/>
          <w:sz w:val="22"/>
          <w:szCs w:val="22"/>
        </w:rPr>
        <w:t xml:space="preserve">[0009-A] </w:t>
      </w:r>
      <w:r>
        <w:rPr>
          <w:rFonts w:ascii="Arial" w:cs="Arial" w:eastAsia="Arial" w:hAnsi="Arial"/>
          <w:sz w:val="22"/>
          <w:szCs w:val="22"/>
        </w:rPr>
        <w:t xml:space="preserve">Inter-nodal toroidal fluid cells in acoustic standing waves were first described by E.N. da C. Andrade in 'On the circulation caused by the vibration of air in a tube,' Proc. Roy. Soc. London A 134, 445 (1931). Andrade experimentally demonstrated that a standing acoustic wave in a tube produces a series of counter-rotating vortex pairs distributed between adjacent pressure nodes and antinodes. Each vortex pair forms a topologically closed toroidal cell occupying the inter-nodal region, with axial length corresponding to the quarter-wavelength node-to-antinode spacing. Fluid within each cell recirculates without exchanging mass with adjacent cells. The Andrade cell forms spontaneously as the stable fluid dynamical response to the inter-nodal pressure gradient of the standing acoustic wave. Andrade did not identify the toroidal cell as a transport vehicle, did not operate in microgravity, and did not have access to phased array technology capable of translating the cell geometry along a transport path. The present invention builds on Andrade's observation by deliberately engineering the phased array gap geometry to reproduce the Andrade cell in a traveling wave context and translate it as a transport mechanism, as described in the Detailed Description.</w:t>
      </w:r>
    </w:p>
    <w:p>
      <w:pPr>
        <w:spacing w:after="160" w:before="0" w:line="276"/>
        <w:jc w:val="both"/>
      </w:pPr>
      <w:r>
        <w:rPr>
          <w:rFonts w:ascii="Arial" w:cs="Arial" w:eastAsia="Arial" w:hAnsi="Arial"/>
          <w:b/>
          <w:bCs/>
          <w:sz w:val="22"/>
          <w:szCs w:val="22"/>
        </w:rPr>
        <w:t xml:space="preserve">[0009-B] </w:t>
      </w:r>
      <w:r>
        <w:rPr>
          <w:rFonts w:ascii="Arial" w:cs="Arial" w:eastAsia="Arial" w:hAnsi="Arial"/>
          <w:sz w:val="22"/>
          <w:szCs w:val="22"/>
        </w:rPr>
        <w:t xml:space="preserve">E.H. Trinh, in 'Acoustic Streaming in Microgravity: Flow Stability and Heat Transfer Enhancement' (Jet Propulsion Laboratory, California Institute of Technology, ca. 1994), reported direct flow visualization of toroidal vortices attached to objects levitated in ultrasonic standing waves. Trinh observed that in terrestrial gravitational conditions, the streaming flow pattern in resonant chambers is invariably a single large toroidal vortex rather than the discrete Andrade cell series, noting explicitly that 'the classic results of Andrade showing vortices distributed between nodes and antinodes of a standing wave are not often found in our experimental results.' Trinh attributed this discrepancy to acoustic parameters and chamber geometry. The present inventors identify buoyancy-driven convection in the terrestrial gravitational field as the primary suppression mechanism, as described in the Detailed Description. Trinh's explicit discussion of microgravity as a test environment for 'elimination of the natural convection contribution' provides direct experimental foreshadowing of the microgravity necessity condition of the present invention. Trinh did not identify gravity as the Andrade cell destruction mechanism, did not design a traveling pressure differential to reproduce Andrade cells, and did not apply the toroidal cell structure to object transport.</w:t>
      </w:r>
    </w:p>
    <w:p>
      <w:pPr>
        <w:spacing w:after="160" w:before="0" w:line="276"/>
        <w:jc w:val="both"/>
      </w:pPr>
      <w:r>
        <w:rPr>
          <w:rFonts w:ascii="Arial" w:cs="Arial" w:eastAsia="Arial" w:hAnsi="Arial"/>
          <w:b/>
          <w:bCs/>
          <w:sz w:val="22"/>
          <w:szCs w:val="22"/>
        </w:rPr>
        <w:t xml:space="preserve">[0009-C] </w:t>
      </w:r>
      <w:r>
        <w:rPr>
          <w:rFonts w:ascii="Arial" w:cs="Arial" w:eastAsia="Arial" w:hAnsi="Arial"/>
          <w:sz w:val="22"/>
          <w:szCs w:val="22"/>
        </w:rPr>
        <w:t xml:space="preserve">Taylor Wang, conducting acoustic levitation experiments aboard Space Shuttle Challenger in 1985, observed that acoustic fields behave qualitatively differently in microgravity, with bulk fluid motions around acoustically manipulated samples that were not predicted from terrestrial acoustic theory. Wang's experiments demonstrated acoustic containment of levitated droplets in microgravity but did not identify the inter-nodal toroidal cell structure as the operative mechanism, did not employ a phased array architecture, and did not apply the observations to object transport. The present inventors cite Wang's microgravity acoustic observations as prior art establishing that acoustic field behavior in zero gravity produces qualitatively different fluid dynamics than terrestrial systems, consistent with the gravity suppression mechanism described herein.</w:t>
      </w:r>
    </w:p>
    <w:p>
      <w:pPr>
        <w:spacing w:after="160" w:before="0" w:line="276"/>
        <w:jc w:val="both"/>
      </w:pPr>
      <w:r>
        <w:rPr>
          <w:rFonts w:ascii="Arial" w:cs="Arial" w:eastAsia="Arial" w:hAnsi="Arial"/>
          <w:b/>
          <w:bCs/>
          <w:sz w:val="22"/>
          <w:szCs w:val="22"/>
        </w:rPr>
        <w:t xml:space="preserve">[0009-D] </w:t>
      </w:r>
      <w:r>
        <w:rPr>
          <w:rFonts w:ascii="Arial" w:cs="Arial" w:eastAsia="Arial" w:hAnsi="Arial"/>
          <w:sz w:val="22"/>
          <w:szCs w:val="22"/>
        </w:rPr>
        <w:t xml:space="preserve">Rossiter et al. (ASME, 2024) demonstrated acoustic manipulation of polymer particles under microgravity conditions in drop tower experiments. Rossiter et al. observed particle co-movement phenomena that they attributed broadly to acoustic streaming effects, and proposed acoustic levitation as a handling mechanism for substrate-free additive manufacturing in space. Rossiter et al. worked in air medium with polymer powder at millinewton force levels, did not identify the toroidal inter-nodal cell as the transport mechanism, did not operate in aqueous medium, did not engineer the phased array gap geometry of the present invention, and did not apply their observations to biological cell transport or organ manufacturing. The present inventors cite Rossiter et al. as prior art observing acoustic particle co-movement in microgravity without identifying the controlling toroidal mechanism or exploiting it as a deliberate transport tool.</w:t>
      </w:r>
    </w:p>
    <w:p>
      <w:pPr>
        <w:spacing w:after="160" w:before="0" w:line="276"/>
        <w:jc w:val="both"/>
      </w:pPr>
      <w:r>
        <w:rPr>
          <w:rFonts w:ascii="Arial" w:cs="Arial" w:eastAsia="Arial" w:hAnsi="Arial"/>
          <w:b/>
          <w:bCs/>
          <w:sz w:val="22"/>
          <w:szCs w:val="22"/>
        </w:rPr>
        <w:t xml:space="preserve">[0009-E] </w:t>
      </w:r>
      <w:r>
        <w:rPr>
          <w:rFonts w:ascii="Arial" w:cs="Arial" w:eastAsia="Arial" w:hAnsi="Arial"/>
          <w:sz w:val="22"/>
          <w:szCs w:val="22"/>
        </w:rPr>
        <w:t xml:space="preserve">The Andrade (1931), Trinh (1994), Wang (1985), and Rossiter et al. (2024) prior art collectively establishes that: (a) inter-nodal toroidal fluid cells exist in acoustic standing wave fields; (b) gravity suppresses these cells in terrestrial experiments; (c) acoustic behavior in microgravity produces qualitatively different and more favorable fluid dynamics for co-entrained pocket transport than terrestrial systems; and (d) co-movement of objects with surrounding acoustic streaming fluid has been observed in multiple contexts without being identified as a controllable transport mechanism. No prior art discloses the deliberate engineering of a gap between destructive and constructive acoustic interference zones to reproduce the Andrade inter-nodal toroidal cell geometry in a traveling wave configuration, nor the use of the toroidal axial quiet zone as the transport locus for biological cells and inorganic particles in a manufacturing context. These are the novel contributions of the present invention.</w:t>
      </w:r>
    </w:p>
    <w:p>
      <w:pPr>
        <w:pBdr>
          <w:bottom w:val="single" w:color="CCCCCC" w:sz="4"/>
        </w:pBdr>
        <w:spacing w:after="240" w:before="240"/>
      </w:pPr>
      <w:r>
        <w:t xml:space="preserve"/>
      </w:r>
    </w:p>
    <w:p>
      <w:pPr>
        <w:pBdr>
          <w:top w:val="single" w:color="185FA5" w:sz="12"/>
        </w:pBdr>
        <w:spacing w:after="0" w:before="360"/>
      </w:pPr>
      <w:r>
        <w:rPr>
          <w:rFonts w:ascii="Arial" w:cs="Arial" w:eastAsia="Arial" w:hAnsi="Arial"/>
          <w:b/>
          <w:bCs/>
          <w:color w:val="185FA5"/>
          <w:sz w:val="20"/>
          <w:szCs w:val="20"/>
        </w:rPr>
        <w:t xml:space="preserve">INSERT AFTER [0032] (end of Definitions section)</w:t>
      </w:r>
    </w:p>
    <w:p>
      <w:pPr>
        <w:spacing w:after="160" w:before="4"/>
      </w:pPr>
      <w:r>
        <w:rPr>
          <w:rFonts w:ascii="Arial" w:cs="Arial" w:eastAsia="Arial" w:hAnsi="Arial"/>
          <w:b/>
          <w:bCs/>
          <w:color w:val="185FA5"/>
          <w:sz w:val="22"/>
          <w:szCs w:val="22"/>
        </w:rPr>
        <w:t xml:space="preserve">INSERTION 2 — New Definitions: Andrade Cell, Axial Quiet Zone, Gap Distance, Gravity Suppression</w:t>
      </w:r>
    </w:p>
    <w:p>
      <w:pPr>
        <w:spacing w:after="160" w:before="0" w:line="276"/>
        <w:jc w:val="both"/>
      </w:pPr>
      <w:r>
        <w:rPr>
          <w:rFonts w:ascii="Arial" w:cs="Arial" w:eastAsia="Arial" w:hAnsi="Arial"/>
          <w:b/>
          <w:bCs/>
          <w:sz w:val="22"/>
          <w:szCs w:val="22"/>
        </w:rPr>
        <w:t xml:space="preserve">[0032-A] </w:t>
      </w:r>
      <w:r>
        <w:rPr>
          <w:rFonts w:ascii="Arial" w:cs="Arial" w:eastAsia="Arial" w:hAnsi="Arial"/>
          <w:sz w:val="22"/>
          <w:szCs w:val="22"/>
        </w:rPr>
        <w:t xml:space="preserve">As used herein, 'Andrade cell' means </w:t>
      </w:r>
      <w:r>
        <w:rPr>
          <w:rFonts w:ascii="Arial" w:cs="Arial" w:eastAsia="Arial" w:hAnsi="Arial"/>
          <w:sz w:val="22"/>
          <w:szCs w:val="22"/>
        </w:rPr>
        <w:t xml:space="preserve">a closed toroidal vortex cell occupying the inter-nodal region of an acoustic standing wave, first described by E.N. da C. Andrade (1931). The Andrade cell is topologically isolated from adjacent cells under gravity-free conditions. Each cell has axial length approximately equal to the quarter-wavelength spacing between adjacent acoustic node and antinode, and radial extent of comparable dimension, forming a toroidal fluid structure with counter-rotating circulation relative to its neighbors. The Andrade cell is the natural fluid dynamical response to the inter-nodal pressure gradient of a standing acoustic wave. In the present invention, the Andrade cell geometry is reproduced in a traveling wave context by engineering the gap between the destructive and constructive interference zones of the phased transducer array to equal approximately one quarter wavelength, and is translated along the transport path by advancing the pressure differential pattern.</w:t>
      </w:r>
    </w:p>
    <w:p>
      <w:pPr>
        <w:spacing w:after="160" w:before="0" w:line="276"/>
        <w:jc w:val="both"/>
      </w:pPr>
      <w:r>
        <w:rPr>
          <w:rFonts w:ascii="Arial" w:cs="Arial" w:eastAsia="Arial" w:hAnsi="Arial"/>
          <w:b/>
          <w:bCs/>
          <w:sz w:val="22"/>
          <w:szCs w:val="22"/>
        </w:rPr>
        <w:t xml:space="preserve">[0032-B] </w:t>
      </w:r>
      <w:r>
        <w:rPr>
          <w:rFonts w:ascii="Arial" w:cs="Arial" w:eastAsia="Arial" w:hAnsi="Arial"/>
          <w:sz w:val="22"/>
          <w:szCs w:val="22"/>
        </w:rPr>
        <w:t xml:space="preserve">As used herein, 'axial quiet zone' means </w:t>
      </w:r>
      <w:r>
        <w:rPr>
          <w:rFonts w:ascii="Arial" w:cs="Arial" w:eastAsia="Arial" w:hAnsi="Arial"/>
          <w:sz w:val="22"/>
          <w:szCs w:val="22"/>
        </w:rPr>
        <w:t xml:space="preserve">the region at the geometric center of a toroidal vortex cell, coincident with the toroidal axis of rotation, in which the net fluid velocity relative to the toroid center of mass approaches zero by rotational symmetry. At any point on the toroidal axis, fluid arriving from all radial directions carries momentum vectors equal in magnitude and opposed in direction, producing zero net fluid velocity at the axis. A transported object positioned at the axial quiet zone therefore experiences near-zero relative fluid velocity at its surface, and consequently near-zero viscous shear stress at its surface, regardless of the transport velocity of the toroid relative to the laboratory frame. The axial quiet zone is the transport locus of the present invention: the transported object resides at the toroidal axis, not within the rotating ring of the toroid. The axial quiet zone is distinct from and not to be confused with the pressure minimum generated by destructive acoustic interference, which is the forward boundary of the traveling pressure differential rather than the object position.</w:t>
      </w:r>
    </w:p>
    <w:p>
      <w:pPr>
        <w:spacing w:after="160" w:before="0" w:line="276"/>
        <w:jc w:val="both"/>
      </w:pPr>
      <w:r>
        <w:rPr>
          <w:rFonts w:ascii="Arial" w:cs="Arial" w:eastAsia="Arial" w:hAnsi="Arial"/>
          <w:b/>
          <w:bCs/>
          <w:sz w:val="22"/>
          <w:szCs w:val="22"/>
        </w:rPr>
        <w:t xml:space="preserve">[0032-C] </w:t>
      </w:r>
      <w:r>
        <w:rPr>
          <w:rFonts w:ascii="Arial" w:cs="Arial" w:eastAsia="Arial" w:hAnsi="Arial"/>
          <w:sz w:val="22"/>
          <w:szCs w:val="22"/>
        </w:rPr>
        <w:t xml:space="preserve">As used herein, 'gap distance' means </w:t>
      </w:r>
      <w:r>
        <w:rPr>
          <w:rFonts w:ascii="Arial" w:cs="Arial" w:eastAsia="Arial" w:hAnsi="Arial"/>
          <w:sz w:val="22"/>
          <w:szCs w:val="22"/>
        </w:rPr>
        <w:t xml:space="preserve">the physical separation between the center of the destructive acoustic interference zone generating the forward pressure minimum and the center of the constructive acoustic interference zone generating the rearward pressure maximum, in the traveling pressure differential of the present invention. The gap distance is the primary engineering parameter controlling the geometry of the co-entrained toroidal pocket. When the gap distance is set to approximately one quarter of the acoustic wavelength at the operating frequency, the pressure gradient across the neutral region between the interference zones generates a toroidal co-entrained pocket of geometry directly analogous to the Andrade inter-nodal toroidal cell. The pocket cross-sectional dimension scales with the gap distance in the range of one to three times the gap distance, depending on array focal geometry, providing the derivation basis for the 10 to 50 object diameter pocket cross-section specified herein. The gap distance is programmable through the phase relationships applied to the transducer array elements, enabling real-time control of pocket size and pocket boundary shear gradient at fixed operating frequency.</w:t>
      </w:r>
    </w:p>
    <w:p>
      <w:pPr>
        <w:spacing w:after="160" w:before="0" w:line="276"/>
        <w:jc w:val="both"/>
      </w:pPr>
      <w:r>
        <w:rPr>
          <w:rFonts w:ascii="Arial" w:cs="Arial" w:eastAsia="Arial" w:hAnsi="Arial"/>
          <w:b/>
          <w:bCs/>
          <w:sz w:val="22"/>
          <w:szCs w:val="22"/>
        </w:rPr>
        <w:t xml:space="preserve">[0032-D] </w:t>
      </w:r>
      <w:r>
        <w:rPr>
          <w:rFonts w:ascii="Arial" w:cs="Arial" w:eastAsia="Arial" w:hAnsi="Arial"/>
          <w:sz w:val="22"/>
          <w:szCs w:val="22"/>
        </w:rPr>
        <w:t xml:space="preserve">As used herein, 'gravity suppression' means </w:t>
      </w:r>
      <w:r>
        <w:rPr>
          <w:rFonts w:ascii="Arial" w:cs="Arial" w:eastAsia="Arial" w:hAnsi="Arial"/>
          <w:sz w:val="22"/>
          <w:szCs w:val="22"/>
        </w:rPr>
        <w:t xml:space="preserve">the destruction of toroidal Andrade inter-nodal cell topology by buoyancy-driven convection in a terrestrial gravitational field. In terrestrial gravity, density variations at the toroidal pocket boundary — arising from temperature gradients and acoustic energy deposition — generate buoyancy forces that drive fluid flow across the toroidal cell boundaries, coupling adjacent cells and collapsing the discrete toroidal structure into a single gravity-aligned vortex. Gravity suppression occurs on timescales of approximately 4 to 10 milliseconds for pocket diameters of 100 to 300 micrometers in aqueous medium — substantially shorter than the acoustic streaming pocket formation timescale of approximately 100 to 300 milliseconds at the same pocket scale. Gravity suppression is the reason the discrete Andrade cell structure has not been reproducibly observed in terrestrial acoustic experiments since Andrade's original tube-confined measurements, and is the primary mechanism by which microgravity constitutes a necessary operating condition for sustained toroidal pocket transport across manufacturing-relevant path lengths. In microgravity, buoyancy forces are absent and the toroidal pocket forms and maintains coherence without gravitational disruption.</w:t>
      </w:r>
    </w:p>
    <w:p>
      <w:pPr>
        <w:pBdr>
          <w:bottom w:val="single" w:color="CCCCCC" w:sz="4"/>
        </w:pBdr>
        <w:spacing w:after="240" w:before="240"/>
      </w:pPr>
      <w:r>
        <w:t xml:space="preserve"/>
      </w:r>
    </w:p>
    <w:p>
      <w:pPr>
        <w:pBdr>
          <w:top w:val="single" w:color="185FA5" w:sz="12"/>
        </w:pBdr>
        <w:spacing w:after="0" w:before="360"/>
      </w:pPr>
      <w:r>
        <w:rPr>
          <w:rFonts w:ascii="Arial" w:cs="Arial" w:eastAsia="Arial" w:hAnsi="Arial"/>
          <w:b/>
          <w:bCs/>
          <w:color w:val="185FA5"/>
          <w:sz w:val="20"/>
          <w:szCs w:val="20"/>
        </w:rPr>
        <w:t xml:space="preserve">INSERT AFTER [0039] (end of existing Section 2)</w:t>
      </w:r>
    </w:p>
    <w:p>
      <w:pPr>
        <w:spacing w:after="160" w:before="4"/>
      </w:pPr>
      <w:r>
        <w:rPr>
          <w:rFonts w:ascii="Arial" w:cs="Arial" w:eastAsia="Arial" w:hAnsi="Arial"/>
          <w:b/>
          <w:bCs/>
          <w:color w:val="185FA5"/>
          <w:sz w:val="22"/>
          <w:szCs w:val="22"/>
        </w:rPr>
        <w:t xml:space="preserve">INSERTION 3 — New Detailed Description Section 2.5: Toroidal Vortex Structure, Axial Quiet Zone, and Gap Distance Derivation</w:t>
      </w:r>
    </w:p>
    <w:p>
      <w:pPr>
        <w:spacing w:after="80" w:before="200"/>
      </w:pPr>
      <w:r>
        <w:rPr>
          <w:rFonts w:ascii="Arial" w:cs="Arial" w:eastAsia="Arial" w:hAnsi="Arial"/>
          <w:b/>
          <w:bCs/>
          <w:sz w:val="22"/>
          <w:szCs w:val="22"/>
          <w:u w:val="single"/>
        </w:rPr>
        <w:t xml:space="preserve">2.5  Toroidal Vortex Structure of the Co-Entrained Pocket and the Axial Quiet Zone</w:t>
      </w:r>
    </w:p>
    <w:p>
      <w:pPr>
        <w:spacing w:after="160" w:before="0" w:line="276"/>
        <w:jc w:val="both"/>
      </w:pPr>
      <w:r>
        <w:rPr>
          <w:rFonts w:ascii="Arial" w:cs="Arial" w:eastAsia="Arial" w:hAnsi="Arial"/>
          <w:b/>
          <w:bCs/>
          <w:sz w:val="22"/>
          <w:szCs w:val="22"/>
        </w:rPr>
        <w:t xml:space="preserve">[0039-A] </w:t>
      </w:r>
      <w:r>
        <w:rPr>
          <w:rFonts w:ascii="Arial" w:cs="Arial" w:eastAsia="Arial" w:hAnsi="Arial"/>
          <w:sz w:val="22"/>
          <w:szCs w:val="22"/>
        </w:rPr>
        <w:t xml:space="preserve">The co-entrained fluid pocket generated by the traveling pressure differential of the present invention is not a homogeneous fluid column moving at uniform velocity. It is a toroidal vortex: fluid within the pocket circulates in a rotating annular pattern about the transport axis, with maximum fluid velocity at the center of the rotating ring and minimum fluid velocity at the toroidal axis — the geometric center of the pocket. This toroidal structure is the same geometry first observed by Andrade (1931) in acoustic standing waves and described in the Background. The present invention reproduces this structure in a traveling wave context by engineering the gap distance between the destructive and constructive interference zones, as described below.</w:t>
      </w:r>
    </w:p>
    <w:p>
      <w:pPr>
        <w:spacing w:after="160" w:before="0" w:line="276"/>
        <w:jc w:val="both"/>
      </w:pPr>
      <w:r>
        <w:rPr>
          <w:rFonts w:ascii="Arial" w:cs="Arial" w:eastAsia="Arial" w:hAnsi="Arial"/>
          <w:b/>
          <w:bCs/>
          <w:sz w:val="22"/>
          <w:szCs w:val="22"/>
        </w:rPr>
        <w:t xml:space="preserve">[0039-B] </w:t>
      </w:r>
      <w:r>
        <w:rPr>
          <w:rFonts w:ascii="Arial" w:cs="Arial" w:eastAsia="Arial" w:hAnsi="Arial"/>
          <w:sz w:val="22"/>
          <w:szCs w:val="22"/>
        </w:rPr>
        <w:t xml:space="preserve">The existence of the toroidal structure in the co-entrained pocket is directly supported by the flow visualization observations of Trinh (1994), who photographed toroidal vortices attached to objects levitated in acoustic standing waves. Trinh's Figure 10a shows a levitated water drop surrounded by a nearly symmetrical toroidal vortex, with the drop occupying the toroidal axis rather than the rotating ring of the toroid. The transported object — the drop — is at the zero-velocity center. This is the axial quiet zone, as defined herein. Trinh's observation confirms that the transported object and the toroidal vortex co-exist with the object at the axis, and that the vortex ring surrounds the object rather than enclosing it.</w:t>
      </w:r>
    </w:p>
    <w:p>
      <w:pPr>
        <w:spacing w:after="160" w:before="0" w:line="276"/>
        <w:jc w:val="both"/>
      </w:pPr>
      <w:r>
        <w:rPr>
          <w:rFonts w:ascii="Arial" w:cs="Arial" w:eastAsia="Arial" w:hAnsi="Arial"/>
          <w:b/>
          <w:bCs/>
          <w:sz w:val="22"/>
          <w:szCs w:val="22"/>
        </w:rPr>
        <w:t xml:space="preserve">[0039-C] </w:t>
      </w:r>
      <w:r>
        <w:rPr>
          <w:rFonts w:ascii="Arial" w:cs="Arial" w:eastAsia="Arial" w:hAnsi="Arial"/>
          <w:sz w:val="22"/>
          <w:szCs w:val="22"/>
        </w:rPr>
        <w:t xml:space="preserve">The physical consequence of the toroidal vortex structure for transported objects is the axial quiet zone. By rotational symmetry, the net fluid velocity at the toroidal axis is zero relative to the toroid's center of mass: fluid arriving from all radial directions at the axis carries equal and opposite momentum, canceling to zero net velocity at the axis. A transported object at the axial quiet zone experiences fluid motion only at the level of the residual imperfection of the symmetry — the small departures from perfect toroidal symmetry arising from pocket boundary interactions and array phase imperfections. The residual relative velocity v_rel at the object surface is estimated at 1 to 10 micrometers per second in the present system, compared to transport velocities of 1 to 2 millimeters per second. The Stokes drag force on the transported object, which scales with v_rel, is accordingly three orders of magnitude below the drag force that would act on the same object moving at transport velocity through stationary fluid. Shear stress at the object surface is negligible not because shear is distributed across a large pocket volume, but because the object is at the rotational symmetry center where relative fluid velocity approaches zero by geometry.</w:t>
      </w:r>
    </w:p>
    <w:p>
      <w:pPr>
        <w:spacing w:after="160" w:before="0" w:line="276"/>
        <w:jc w:val="both"/>
      </w:pPr>
      <w:r>
        <w:rPr>
          <w:rFonts w:ascii="Arial" w:cs="Arial" w:eastAsia="Arial" w:hAnsi="Arial"/>
          <w:b/>
          <w:bCs/>
          <w:sz w:val="22"/>
          <w:szCs w:val="22"/>
        </w:rPr>
        <w:t xml:space="preserve">[0039-D] </w:t>
      </w:r>
      <w:r>
        <w:rPr>
          <w:rFonts w:ascii="Arial" w:cs="Arial" w:eastAsia="Arial" w:hAnsi="Arial"/>
          <w:sz w:val="22"/>
          <w:szCs w:val="22"/>
        </w:rPr>
        <w:t xml:space="preserve">The gap distance d_gap between the destructive and constructive interference zones is the engineering parameter that determines the toroidal pocket geometry. The natural length scale for inter-nodal toroidal cell formation in an acoustic field — the Andrade cell length scale — is the quarter-wavelength spacing between adjacent acoustic node and antinode, which equals lambda/4 at the operating frequency. By engineering the gap distance to equal approximately lambda/4, the pressure gradient across the neutral region between the forward low-pressure zone and the rearward high-pressure zone produces a toroidal cell of Andrade geometry. Setting d_gap to values substantially smaller than lambda/4 places the transported object inside the acoustic radiation force field of the interference zones rather than in the neutral region between them, reverting to the direct-force trapping regime of the prior art. Setting d_gap to values substantially larger than lambda/4 reduces the pressure gradient across the neutral region below the level required to maintain toroidal cell coherence at operating acoustic power levels. The optimal gap distance d_gap approximately equal to lambda/4 is therefore both the natural Andrade cell length scale and the engineering optimum for traveling toroidal pocket formation.</w:t>
      </w:r>
    </w:p>
    <w:p>
      <w:pPr>
        <w:spacing w:after="160" w:before="0" w:line="276"/>
        <w:jc w:val="both"/>
      </w:pPr>
      <w:r>
        <w:rPr>
          <w:rFonts w:ascii="Arial" w:cs="Arial" w:eastAsia="Arial" w:hAnsi="Arial"/>
          <w:b/>
          <w:bCs/>
          <w:sz w:val="22"/>
          <w:szCs w:val="22"/>
        </w:rPr>
        <w:t xml:space="preserve">[0039-E] </w:t>
      </w:r>
      <w:r>
        <w:rPr>
          <w:rFonts w:ascii="Arial" w:cs="Arial" w:eastAsia="Arial" w:hAnsi="Arial"/>
          <w:sz w:val="22"/>
          <w:szCs w:val="22"/>
        </w:rPr>
        <w:t xml:space="preserve">The cross-sectional dimension of the toroidal pocket is a derived quantity of the gap distance. The Andrade toroidal cell has an aspect ratio of approximately unity when the confining geometry radius is of order lambda/4: axial length approximately equal to radial width. In the free-field phased array geometry of the present invention, the beam waist at the acoustic focus — given by w_beam approximately equal to lambda times the focal ratio F/D — sets the radial extent of the pocket. For the PMUT array embodiment operating at 1 to 5 MHz in aqueous medium with focal ratio F/D of 2 to 4:</w:t>
      </w:r>
    </w:p>
    <w:p>
      <w:pPr>
        <w:spacing w:after="100" w:before="100"/>
        <w:jc w:val="center"/>
      </w:pPr>
      <w:r>
        <w:rPr>
          <w:rFonts w:ascii="Courier New" w:cs="Courier New" w:eastAsia="Courier New" w:hAnsi="Courier New"/>
          <w:b/>
          <w:bCs/>
          <w:sz w:val="22"/>
          <w:szCs w:val="22"/>
        </w:rPr>
        <w:t xml:space="preserve">w_beam  ~=  lambda × (F/D)  =  2 to 4 wavelengths</w:t>
      </w:r>
    </w:p>
    <w:p>
      <w:pPr>
        <w:spacing w:after="160" w:before="0" w:line="276"/>
        <w:jc w:val="both"/>
      </w:pPr>
      <w:r>
        <w:rPr>
          <w:rFonts w:ascii="Arial" w:cs="Arial" w:eastAsia="Arial" w:hAnsi="Arial"/>
          <w:b/>
          <w:bCs/>
          <w:sz w:val="22"/>
          <w:szCs w:val="22"/>
        </w:rPr>
        <w:t xml:space="preserve">[0039-F] </w:t>
      </w:r>
      <w:r>
        <w:rPr>
          <w:rFonts w:ascii="Arial" w:cs="Arial" w:eastAsia="Arial" w:hAnsi="Arial"/>
          <w:sz w:val="22"/>
          <w:szCs w:val="22"/>
        </w:rPr>
        <w:t xml:space="preserve">The pocket radius r_pocket scales with the gap distance and the toroidal cell aspect ratio: r_pocket approximately equal to d_gap to 3 times d_gap. For d_gap equal to lambda/4 at 5 MHz in aqueous medium at 30 degrees Celsius (lambda = 302 micrometers, d_gap = 75.5 micrometers), r_pocket ranges from 75 to 225 micrometers. For a transported mammalian cell of 10 micrometers diameter, pocket diameter expressed in cell diameters ranges from 15 to 45 — within the 10 to 50 object diameter design range specified in the claims and definitions herein. This derivation provides the first-principles basis for the 10 to 50 object diameter pocket cross-section: the lower bound is the minimum gap distance at which the neutral region between interference zones is physically distinct from the zones themselves, and the upper bound is the maximum gap distance at which pressure gradient across the pocket boundary remains sufficient to maintain pocket coherence against viscous diffusion at operating acoustic power levels. The gap distance and therefore pocket size are continuously programmable through the phase relationships applied to the array elements.</w:t>
      </w:r>
    </w:p>
    <w:p>
      <w:pPr>
        <w:spacing w:after="160" w:before="0" w:line="276"/>
        <w:jc w:val="both"/>
      </w:pPr>
      <w:r>
        <w:rPr>
          <w:rFonts w:ascii="Arial" w:cs="Arial" w:eastAsia="Arial" w:hAnsi="Arial"/>
          <w:b/>
          <w:bCs/>
          <w:sz w:val="22"/>
          <w:szCs w:val="22"/>
        </w:rPr>
        <w:t xml:space="preserve">[0039-G] </w:t>
      </w:r>
      <w:r>
        <w:rPr>
          <w:rFonts w:ascii="Arial" w:cs="Arial" w:eastAsia="Arial" w:hAnsi="Arial"/>
          <w:sz w:val="22"/>
          <w:szCs w:val="22"/>
        </w:rPr>
        <w:t xml:space="preserve">The distinction between the transported object position and the pocket structure has practical significance for claim scope. Prior art acoustic trapping positions objects at pressure nodes or antinodes of the acoustic field. In the present invention, the transported object does not reside at a pressure node or antinode. It resides at the axial quiet zone of the toroidal pocket, which is a fluid dynamical structure — not an acoustic pressure extremum — located in the neutral region between the forward pressure minimum and the rearward pressure maximum. The axial quiet zone is spatially coincident with the geometric center of the neutral region and the toroidal axis of the co-entrained pocket. This positional distinction is the physical basis for the near-zero shear stress at the object surface and is the mechanism distinguishing the present invention from all prior art acoustic manipulation systems.</w:t>
      </w:r>
    </w:p>
    <w:p>
      <w:pPr>
        <w:pBdr>
          <w:bottom w:val="single" w:color="CCCCCC" w:sz="4"/>
        </w:pBdr>
        <w:spacing w:after="240" w:before="240"/>
      </w:pPr>
      <w:r>
        <w:t xml:space="preserve"/>
      </w:r>
    </w:p>
    <w:p>
      <w:pPr>
        <w:pBdr>
          <w:top w:val="single" w:color="185FA5" w:sz="12"/>
        </w:pBdr>
        <w:spacing w:after="0" w:before="360"/>
      </w:pPr>
      <w:r>
        <w:rPr>
          <w:rFonts w:ascii="Arial" w:cs="Arial" w:eastAsia="Arial" w:hAnsi="Arial"/>
          <w:b/>
          <w:bCs/>
          <w:color w:val="185FA5"/>
          <w:sz w:val="20"/>
          <w:szCs w:val="20"/>
        </w:rPr>
        <w:t xml:space="preserve">INSERT AFTER [0062] (after first paragraph of Section 7)</w:t>
      </w:r>
    </w:p>
    <w:p>
      <w:pPr>
        <w:spacing w:after="160" w:before="4"/>
      </w:pPr>
      <w:r>
        <w:rPr>
          <w:rFonts w:ascii="Arial" w:cs="Arial" w:eastAsia="Arial" w:hAnsi="Arial"/>
          <w:b/>
          <w:bCs/>
          <w:color w:val="185FA5"/>
          <w:sz w:val="22"/>
          <w:szCs w:val="22"/>
        </w:rPr>
        <w:t xml:space="preserve">INSERTION 4 — Section 7 Strengthening: Gravity Suppression Timescale Quantification</w:t>
      </w:r>
    </w:p>
    <w:p>
      <w:pPr>
        <w:spacing w:after="160" w:before="0" w:line="276"/>
        <w:jc w:val="both"/>
      </w:pPr>
      <w:r>
        <w:rPr>
          <w:rFonts w:ascii="Arial" w:cs="Arial" w:eastAsia="Arial" w:hAnsi="Arial"/>
          <w:b/>
          <w:bCs/>
          <w:sz w:val="22"/>
          <w:szCs w:val="22"/>
        </w:rPr>
        <w:t xml:space="preserve">[0062-A] </w:t>
      </w:r>
      <w:r>
        <w:rPr>
          <w:rFonts w:ascii="Arial" w:cs="Arial" w:eastAsia="Arial" w:hAnsi="Arial"/>
          <w:sz w:val="22"/>
          <w:szCs w:val="22"/>
        </w:rPr>
        <w:t xml:space="preserve">The disruption of co-entrained toroidal pocket coherence by buoyancy in terrestrial gravity is quantified by the buoyancy disruption timescale, which governs the practical operating envelope of the present system. The buoyancy disruption timescale for a toroidal pocket of diameter d_pocket in a fluid with gravitational acceleration g and relative density variation Delta_rho / rho at the pocket boundary is:</w:t>
      </w:r>
    </w:p>
    <w:p>
      <w:pPr>
        <w:spacing w:after="100" w:before="100"/>
        <w:jc w:val="center"/>
      </w:pPr>
      <w:r>
        <w:rPr>
          <w:rFonts w:ascii="Courier New" w:cs="Courier New" w:eastAsia="Courier New" w:hAnsi="Courier New"/>
          <w:b/>
          <w:bCs/>
          <w:sz w:val="22"/>
          <w:szCs w:val="22"/>
        </w:rPr>
        <w:t xml:space="preserve">t_buoy  =  (d_pocket / (g × Delta_rho / rho))^(1/2)</w:t>
      </w:r>
    </w:p>
    <w:p>
      <w:pPr>
        <w:spacing w:after="160" w:before="0" w:line="276"/>
        <w:jc w:val="both"/>
      </w:pPr>
      <w:r>
        <w:rPr>
          <w:rFonts w:ascii="Arial" w:cs="Arial" w:eastAsia="Arial" w:hAnsi="Arial"/>
          <w:b/>
          <w:bCs/>
          <w:sz w:val="22"/>
          <w:szCs w:val="22"/>
        </w:rPr>
        <w:t xml:space="preserve">[0062-B] </w:t>
      </w:r>
      <w:r>
        <w:rPr>
          <w:rFonts w:ascii="Arial" w:cs="Arial" w:eastAsia="Arial" w:hAnsi="Arial"/>
          <w:sz w:val="22"/>
          <w:szCs w:val="22"/>
        </w:rPr>
        <w:t xml:space="preserve">For representative operating conditions — pocket diameter d_pocket equal to 200 micrometers, relative density variation Delta_rho / rho equal to 0.001 (corresponding to typical thermal gradient-induced density variation in an acoustic field in aqueous medium), and g equal to 9.81 m/s^2 — the buoyancy disruption timescale is approximately 4.5 milliseconds. The acoustic streaming pocket formation timescale — the time required for the traveling pressure differential to entrain a co-moving fluid parcel of pocket dimensions at the acoustic streaming velocity of the present system — is of order d_pocket divided by the streaming velocity, approximately 200 milliseconds for the same parameters. The buoyancy disruption timescale is approximately 45 times shorter than the pocket formation timescale in terrestrial gravity. The toroidal pocket is therefore disrupted by buoyancy faster than the acoustic field can re-form it on Earth. The relay chain transit time for a cell transported at 1 mm/s across a 1-millimeter path is 1000 milliseconds: the pocket is disrupted and must be re-formed approximately 220 times during a single millimeter transit in terrestrial operation, introducing positional uncertainty at the cell of order the pocket radius at each disruption event. In microgravity, g approaches zero and the buoyancy disruption timescale diverges to infinity. The pocket forms once per cell handoff and maintains coherence throughout the transit without re-formation. This is the mechanistic basis for the claim that microgravity is a necessary — not merely convenient — operating condition for sustained precision transport of the present invention across relay chain lengths of millimeters to centimeters.</w:t>
      </w:r>
    </w:p>
    <w:p>
      <w:pPr>
        <w:pBdr>
          <w:bottom w:val="single" w:color="CCCCCC" w:sz="4"/>
        </w:pBdr>
        <w:spacing w:after="240" w:before="240"/>
      </w:pPr>
      <w:r>
        <w:t xml:space="preserve"/>
      </w:r>
    </w:p>
    <w:p>
      <w:pPr>
        <w:pBdr>
          <w:top w:val="single" w:color="185FA5" w:sz="12"/>
        </w:pBdr>
        <w:spacing w:after="0" w:before="360"/>
      </w:pPr>
      <w:r>
        <w:rPr>
          <w:rFonts w:ascii="Arial" w:cs="Arial" w:eastAsia="Arial" w:hAnsi="Arial"/>
          <w:b/>
          <w:bCs/>
          <w:color w:val="185FA5"/>
          <w:sz w:val="20"/>
          <w:szCs w:val="20"/>
        </w:rPr>
        <w:t xml:space="preserve">INSERT AFTER [0077] (end of existing Section 11 tribe formation paragraph)</w:t>
      </w:r>
    </w:p>
    <w:p>
      <w:pPr>
        <w:spacing w:after="160" w:before="4"/>
      </w:pPr>
      <w:r>
        <w:rPr>
          <w:rFonts w:ascii="Arial" w:cs="Arial" w:eastAsia="Arial" w:hAnsi="Arial"/>
          <w:b/>
          <w:bCs/>
          <w:color w:val="185FA5"/>
          <w:sz w:val="22"/>
          <w:szCs w:val="22"/>
        </w:rPr>
        <w:t xml:space="preserve">INSERTION 5 — Section 11 Addition: Five-Stage Thermal Gradient Architecture</w:t>
      </w:r>
    </w:p>
    <w:p>
      <w:pPr>
        <w:spacing w:after="80" w:before="200"/>
      </w:pPr>
      <w:r>
        <w:rPr>
          <w:rFonts w:ascii="Arial" w:cs="Arial" w:eastAsia="Arial" w:hAnsi="Arial"/>
          <w:b/>
          <w:bCs/>
          <w:sz w:val="22"/>
          <w:szCs w:val="22"/>
          <w:u w:val="single"/>
        </w:rPr>
        <w:t xml:space="preserve">11.5  Thermal Gradient Architecture — From Bioreactor to Construct Integration</w:t>
      </w:r>
    </w:p>
    <w:p>
      <w:pPr>
        <w:spacing w:after="160" w:before="0" w:line="276"/>
        <w:jc w:val="both"/>
      </w:pPr>
      <w:r>
        <w:rPr>
          <w:rFonts w:ascii="Arial" w:cs="Arial" w:eastAsia="Arial" w:hAnsi="Arial"/>
          <w:b/>
          <w:bCs/>
          <w:sz w:val="22"/>
          <w:szCs w:val="22"/>
        </w:rPr>
        <w:t xml:space="preserve">[0077-A] </w:t>
      </w:r>
      <w:r>
        <w:rPr>
          <w:rFonts w:ascii="Arial" w:cs="Arial" w:eastAsia="Arial" w:hAnsi="Arial"/>
          <w:sz w:val="22"/>
          <w:szCs w:val="22"/>
        </w:rPr>
        <w:t xml:space="preserve">The mild hypothermia operating temperature of 30 to 35 degrees Celsius is not a static condition applied uniformly throughout the assembly system. It is the equilibrium temperature of the tissue construct face and the assembly medium surrounding it. Cells experience a thermal gradient as they progress from bioreactor extraction through relay chain transport to construct integration. The five stages of this thermal gradient are described below. Understanding the thermal gradient is essential to the written description support for Claims 22 and 23, which specify mild hypothermia operation in the context of the full assembly workflow.</w:t>
      </w:r>
    </w:p>
    <w:p>
      <w:pPr>
        <w:spacing w:after="160" w:before="0" w:line="276"/>
        <w:jc w:val="both"/>
      </w:pPr>
      <w:r>
        <w:rPr>
          <w:rFonts w:ascii="Arial" w:cs="Arial" w:eastAsia="Arial" w:hAnsi="Arial"/>
          <w:b/>
          <w:bCs/>
          <w:sz w:val="22"/>
          <w:szCs w:val="22"/>
        </w:rPr>
        <w:t xml:space="preserve">[0077-B] </w:t>
      </w:r>
      <w:r>
        <w:rPr>
          <w:rFonts w:ascii="Arial" w:cs="Arial" w:eastAsia="Arial" w:hAnsi="Arial"/>
          <w:sz w:val="22"/>
          <w:szCs w:val="22"/>
        </w:rPr>
        <w:t xml:space="preserve">Stage 1 — Bioreactor and extraction (37 degrees Celsius): Cells are grown and harvested at normal physiological temperature with metabolic rate at 100 percent. Cells are in peak adhesion competence, active membrane repair, and full cytoskeletal function. The interval between bioreactor extraction and relay chain entry is minimized by the pre-staging architecture described in related applications — typically seconds. No thermal conditioning is applied at this stage.</w:t>
      </w:r>
    </w:p>
    <w:p>
      <w:pPr>
        <w:spacing w:after="160" w:before="0" w:line="276"/>
        <w:jc w:val="both"/>
      </w:pPr>
      <w:r>
        <w:rPr>
          <w:rFonts w:ascii="Arial" w:cs="Arial" w:eastAsia="Arial" w:hAnsi="Arial"/>
          <w:b/>
          <w:bCs/>
          <w:sz w:val="22"/>
          <w:szCs w:val="22"/>
        </w:rPr>
        <w:t xml:space="preserve">[0077-C] </w:t>
      </w:r>
      <w:r>
        <w:rPr>
          <w:rFonts w:ascii="Arial" w:cs="Arial" w:eastAsia="Arial" w:hAnsi="Arial"/>
          <w:sz w:val="22"/>
          <w:szCs w:val="22"/>
        </w:rPr>
        <w:t xml:space="preserve">Stage 2 — Relay chain transit (34 to 37 degrees Celsius): Cells transit the relay chain in aqueous medium at near-physiological temperature. The relay chain medium is not actively chilled. At transit velocities of 1 to 2 mm/s and relay chain lengths of 1 to 5 millimeters, transit duration is 0.5 to 5 seconds. Cells are at or near full metabolic rate, with fully fluid-phase membranes and active self-repair. The biological vulnerability during transit is therefore minimal: cells are healthy, warm, and repair-competent. The whisper-power operating regime maintains surface shear stress below the repair-rate-limited threshold defined herein at all relay chain temperatures, providing an additional safety margin independent of the thermal state of the cell.</w:t>
      </w:r>
    </w:p>
    <w:p>
      <w:pPr>
        <w:spacing w:after="160" w:before="0" w:line="276"/>
        <w:jc w:val="both"/>
      </w:pPr>
      <w:r>
        <w:rPr>
          <w:rFonts w:ascii="Arial" w:cs="Arial" w:eastAsia="Arial" w:hAnsi="Arial"/>
          <w:b/>
          <w:bCs/>
          <w:sz w:val="22"/>
          <w:szCs w:val="22"/>
        </w:rPr>
        <w:t xml:space="preserve">[0077-D] </w:t>
      </w:r>
      <w:r>
        <w:rPr>
          <w:rFonts w:ascii="Arial" w:cs="Arial" w:eastAsia="Arial" w:hAnsi="Arial"/>
          <w:sz w:val="22"/>
          <w:szCs w:val="22"/>
        </w:rPr>
        <w:t xml:space="preserve">Stage 3 — Tissue face contact and equilibration (30 to 35 degrees Celsius): The tissue construct is maintained in assembly medium at 30 to 35 degrees Celsius. Upon contact with the construct face, the cell exits the relay chain into the chilled assembly medium and equilibrates to the assembly medium temperature within approximately 10 to 100 milliseconds — the thermal diffusion timescale across a 10-micrometer cell in aqueous medium, given by d_cell^2 divided by the thermal diffusivity of water (approximately 1.4 × 10^-7 m^2/s). At 30 to 35 degrees Celsius, metabolic rate is approximately 50 to 65 percent of normal physiological rate by the Q10 effect over a 2 to 7 degree differential. Cell membrane remains in fluid phase. Cadherin dimerization, integrin-mediated focal adhesion, and cytoskeletal machinery are active at 60 to 80 percent of normothermic rate, supporting rapid initial bond formation with the construct face.</w:t>
      </w:r>
    </w:p>
    <w:p>
      <w:pPr>
        <w:spacing w:after="160" w:before="0" w:line="276"/>
        <w:jc w:val="both"/>
      </w:pPr>
      <w:r>
        <w:rPr>
          <w:rFonts w:ascii="Arial" w:cs="Arial" w:eastAsia="Arial" w:hAnsi="Arial"/>
          <w:b/>
          <w:bCs/>
          <w:sz w:val="22"/>
          <w:szCs w:val="22"/>
        </w:rPr>
        <w:t xml:space="preserve">[0077-E] </w:t>
      </w:r>
      <w:r>
        <w:rPr>
          <w:rFonts w:ascii="Arial" w:cs="Arial" w:eastAsia="Arial" w:hAnsi="Arial"/>
          <w:sz w:val="22"/>
          <w:szCs w:val="22"/>
        </w:rPr>
        <w:t xml:space="preserve">Stage 4 — Pre-perfusion holding (30 to 35 degrees Celsius): Following contact with the construct face, a cell may wait at 30 to 35 degrees Celsius through the local deposition completion interval before vascular perfusion of that region is established. During this interval, oxygen supply is limited to diffusion through the assembly medium. The reduced metabolic rate at 30 to 35 degrees Celsius extends the diffusion-limited oxygen survival window by approximately 1.5 to 2 times relative to 37 degrees Celsius operation — from approximately 30 to 60 seconds at normothermia to approximately 45 to 120 seconds at mild hypothermia. Initial cell-cell and cell-matrix adhesion bond formation proceeds continuously during this stage, as the adhesion machinery remains active at mild hypothermia. By the time perfusion is established, cells have formed initial bonds with the construct architecture.</w:t>
      </w:r>
    </w:p>
    <w:p>
      <w:pPr>
        <w:spacing w:after="160" w:before="0" w:line="276"/>
        <w:jc w:val="both"/>
      </w:pPr>
      <w:r>
        <w:rPr>
          <w:rFonts w:ascii="Arial" w:cs="Arial" w:eastAsia="Arial" w:hAnsi="Arial"/>
          <w:b/>
          <w:bCs/>
          <w:sz w:val="22"/>
          <w:szCs w:val="22"/>
        </w:rPr>
        <w:t xml:space="preserve">[0077-F] </w:t>
      </w:r>
      <w:r>
        <w:rPr>
          <w:rFonts w:ascii="Arial" w:cs="Arial" w:eastAsia="Arial" w:hAnsi="Arial"/>
          <w:sz w:val="22"/>
          <w:szCs w:val="22"/>
        </w:rPr>
        <w:t xml:space="preserve">Stage 5 — Perfusion onset and thermal recovery (30 to 37 degrees Celsius): Upon establishment of vascular perfusion in the local construct region, the perfusate delivers both oxygen and thermal equilibration, and the local temperature rises gradually toward physiological as perfusion flow increases. Cells bonded into the construct recover full metabolic rate as temperature normalizes. The gradual thermal recovery avoids thermal shock. The thermal gradient architecture therefore ensures that mechanical vulnerability during transit is managed by the repair-competent near-physiological state of the traveling cell, while metabolic vulnerability during the pre-perfusion window is managed by the mild hypothermia of the construct face environment. The two thermal stages serve complementary protective functions and neither requires cell dormancy.</w:t>
      </w:r>
    </w:p>
    <w:p>
      <w:pPr>
        <w:pBdr>
          <w:bottom w:val="single" w:color="CCCCCC" w:sz="4"/>
        </w:pBdr>
        <w:spacing w:after="240" w:before="240"/>
      </w:pPr>
      <w:r>
        <w:t xml:space="preserve"/>
      </w:r>
    </w:p>
    <w:p>
      <w:pPr>
        <w:pBdr>
          <w:top w:val="single" w:color="185FA5" w:sz="12"/>
        </w:pBdr>
        <w:spacing w:after="0" w:before="360"/>
      </w:pPr>
      <w:r>
        <w:rPr>
          <w:rFonts w:ascii="Arial" w:cs="Arial" w:eastAsia="Arial" w:hAnsi="Arial"/>
          <w:b/>
          <w:bCs/>
          <w:color w:val="185FA5"/>
          <w:sz w:val="20"/>
          <w:szCs w:val="20"/>
        </w:rPr>
        <w:t xml:space="preserve">INSERT AFTER [0078] (counsel flag, no new paragraphs)</w:t>
      </w:r>
    </w:p>
    <w:p>
      <w:pPr>
        <w:spacing w:after="160" w:before="4"/>
      </w:pPr>
      <w:r>
        <w:rPr>
          <w:rFonts w:ascii="Arial" w:cs="Arial" w:eastAsia="Arial" w:hAnsi="Arial"/>
          <w:b/>
          <w:bCs/>
          <w:color w:val="185FA5"/>
          <w:sz w:val="22"/>
          <w:szCs w:val="22"/>
        </w:rPr>
        <w:t xml:space="preserve">INSERTION 6 — Counsel Note: Neural Glutamate Claim [0078] Needs Literature Citation</w:t>
      </w:r>
    </w:p>
    <w:p>
      <w:pPr>
        <w:spacing w:after="160" w:before="0"/>
        <w:ind w:left="360" w:right="360"/>
      </w:pPr>
      <w:r>
        <w:rPr>
          <w:rFonts w:ascii="Arial" w:cs="Arial" w:eastAsia="Arial" w:hAnsi="Arial"/>
          <w:b/>
          <w:bCs/>
          <w:color w:val="A32D2D"/>
          <w:sz w:val="20"/>
          <w:szCs w:val="20"/>
        </w:rPr>
        <w:t xml:space="preserve">[ COUNSEL NOTE: </w:t>
      </w:r>
      <w:r>
        <w:rPr>
          <w:rFonts w:ascii="Arial" w:cs="Arial" w:eastAsia="Arial" w:hAnsi="Arial"/>
          <w:i/>
          <w:iCs/>
          <w:color w:val="A32D2D"/>
          <w:sz w:val="20"/>
          <w:szCs w:val="20"/>
        </w:rPr>
        <w:t xml:space="preserve">Paragraph [0078] describes use of a glutamate clearance agent (glutamate-pyruvate transaminase or competitive NMDA receptor antagonist) for neural tissue constructs. This is a specific pharmacological composition claim. Before filing, counsel should: (a) confirm patentability of this sub-combination is not defeated by neuroprotection literature using similar agents in hypothermic surgical contexts; (b) consider whether this is better filed as a dependent claim in the tissue engineering application rather than the general assembler; (c) add at least one literature citation for the glutamate excitotoxicity risk at hypothermic temperatures to support the assertion that the risk exists and the agent addresses it. Suggested search: hypothermic neuroprotection glutamate accumulation, NMDA antagonist surgical hypothermia.</w:t>
      </w:r>
      <w:r>
        <w:rPr>
          <w:rFonts w:ascii="Arial" w:cs="Arial" w:eastAsia="Arial" w:hAnsi="Arial"/>
          <w:b/>
          <w:bCs/>
          <w:color w:val="A32D2D"/>
          <w:sz w:val="20"/>
          <w:szCs w:val="20"/>
        </w:rPr>
        <w:t xml:space="preserve"> ]</w:t>
      </w:r>
    </w:p>
    <w:p>
      <w:pPr>
        <w:pBdr>
          <w:bottom w:val="single" w:color="CCCCCC" w:sz="4"/>
        </w:pBdr>
        <w:spacing w:after="240" w:before="240"/>
      </w:pPr>
      <w:r>
        <w:t xml:space="preserve"/>
      </w:r>
    </w:p>
    <w:p>
      <w:pPr>
        <w:pBdr>
          <w:top w:val="single" w:color="185FA5" w:sz="12"/>
        </w:pBdr>
        <w:spacing w:after="0" w:before="360"/>
      </w:pPr>
      <w:r>
        <w:rPr>
          <w:rFonts w:ascii="Arial" w:cs="Arial" w:eastAsia="Arial" w:hAnsi="Arial"/>
          <w:b/>
          <w:bCs/>
          <w:color w:val="185FA5"/>
          <w:sz w:val="20"/>
          <w:szCs w:val="20"/>
        </w:rPr>
        <w:t xml:space="preserve">INSERT AFTER Claim 1(c) — optional claim strengthening</w:t>
      </w:r>
    </w:p>
    <w:p>
      <w:pPr>
        <w:spacing w:after="160" w:before="4"/>
      </w:pPr>
      <w:r>
        <w:rPr>
          <w:rFonts w:ascii="Arial" w:cs="Arial" w:eastAsia="Arial" w:hAnsi="Arial"/>
          <w:b/>
          <w:bCs/>
          <w:color w:val="185FA5"/>
          <w:sz w:val="22"/>
          <w:szCs w:val="22"/>
        </w:rPr>
        <w:t xml:space="preserve">OPTIONAL: Revised Claim 1(c) Adding Toroidal Structure and Axial Quiet Zone</w:t>
      </w:r>
    </w:p>
    <w:p>
      <w:pPr>
        <w:spacing w:after="80" w:before="0"/>
      </w:pPr>
      <w:r>
        <w:rPr>
          <w:rFonts w:ascii="Arial" w:cs="Arial" w:eastAsia="Arial" w:hAnsi="Arial"/>
          <w:b/>
          <w:bCs/>
          <w:sz w:val="22"/>
          <w:szCs w:val="22"/>
        </w:rPr>
        <w:t xml:space="preserve">CURRENT Claim 1(c) reads:</w:t>
      </w:r>
    </w:p>
    <w:p>
      <w:pPr>
        <w:spacing w:after="160" w:before="0"/>
        <w:ind w:left="360" w:right="360"/>
      </w:pPr>
      <w:r>
        <w:rPr>
          <w:rFonts w:ascii="Arial" w:cs="Arial" w:eastAsia="Arial" w:hAnsi="Arial"/>
          <w:i/>
          <w:iCs/>
          <w:sz w:val="21"/>
          <w:szCs w:val="21"/>
        </w:rPr>
        <w:t xml:space="preserve">"wherein nonlinear acoustic streaming arising from said traveling pressure differential entrains a co-moving fluid pocket surrounding the transported object, said co-moving fluid pocket having a cross-sectional dimension of at least 5 object diameters in at least two dimensions, such that viscous shear between the co-moving fluid pocket and surrounding stationary fluid occurs at the pocket boundary at a distance from the transported object surface sufficient to render shear stress at the object surface negligible relative to the transport velocity"</w:t>
      </w:r>
    </w:p>
    <w:p>
      <w:pPr>
        <w:spacing w:after="80" w:before="80"/>
      </w:pPr>
      <w:r>
        <w:rPr>
          <w:rFonts w:ascii="Arial" w:cs="Arial" w:eastAsia="Arial" w:hAnsi="Arial"/>
          <w:b/>
          <w:bCs/>
          <w:sz w:val="22"/>
          <w:szCs w:val="22"/>
        </w:rPr>
        <w:t xml:space="preserve">PROPOSED Claim 1(c) revision — adds toroidal structure and axial quiet zone:</w:t>
      </w:r>
    </w:p>
    <w:p>
      <w:pPr>
        <w:spacing w:after="160" w:before="0"/>
        <w:ind w:left="360" w:right="360"/>
      </w:pPr>
      <w:r>
        <w:rPr>
          <w:rFonts w:ascii="Arial" w:cs="Arial" w:eastAsia="Arial" w:hAnsi="Arial"/>
          <w:i/>
          <w:iCs/>
          <w:sz w:val="21"/>
          <w:szCs w:val="21"/>
        </w:rPr>
        <w:t xml:space="preserve">"wherein nonlinear acoustic streaming arising from said traveling pressure differential entrains a co-moving fluid pocket surrounding the transported object, said co-moving fluid pocket having a toroidal vortex structure with a cross-sectional dimension of at least 5 object diameters in at least two dimensions, such that: (i) the transported object is positioned at the axial quiet zone coincident with the toroidal rotation axis where net fluid velocity relative to the pocket center approaches zero by rotational symmetry, rendering shear stress at the object surface negligible regardless of pocket transport velocity; and (ii) viscous shear between the co-moving fluid pocket and surrounding stationary fluid occurs at the pocket boundary at a distance from the transported object surface sufficient to render shear stress at the object surface negligible relative to the transport velocity"</w:t>
      </w:r>
    </w:p>
    <w:p>
      <w:pPr>
        <w:spacing w:after="160" w:before="0"/>
        <w:ind w:left="360" w:right="360"/>
      </w:pPr>
      <w:r>
        <w:rPr>
          <w:rFonts w:ascii="Arial" w:cs="Arial" w:eastAsia="Arial" w:hAnsi="Arial"/>
          <w:b/>
          <w:bCs/>
          <w:color w:val="A32D2D"/>
          <w:sz w:val="20"/>
          <w:szCs w:val="20"/>
        </w:rPr>
        <w:t xml:space="preserve">[ COUNSEL NOTE: </w:t>
      </w:r>
      <w:r>
        <w:rPr>
          <w:rFonts w:ascii="Arial" w:cs="Arial" w:eastAsia="Arial" w:hAnsi="Arial"/>
          <w:i/>
          <w:iCs/>
          <w:color w:val="A32D2D"/>
          <w:sz w:val="20"/>
          <w:szCs w:val="20"/>
        </w:rPr>
        <w:t xml:space="preserve">The revised claim 1(c) adds explicit description of the toroidal structure and axial quiet zone. This strengthens the claim by providing a structural description of the mechanism of shear reduction (rotational symmetry at the toroidal axis), not just the functional result. Counsel should assess whether this addition narrows the claim in ways that would permit design-around. If the broader functional language of the current claim is preferred for maximum scope, this revision may be better placed in a dependent claim. The toroidal structure language is fully supported by the new specification additions and the Andrade/Trinh prior art citations.</w:t>
      </w:r>
      <w:r>
        <w:rPr>
          <w:rFonts w:ascii="Arial" w:cs="Arial" w:eastAsia="Arial" w:hAnsi="Arial"/>
          <w:b/>
          <w:bCs/>
          <w:color w:val="A32D2D"/>
          <w:sz w:val="20"/>
          <w:szCs w:val="20"/>
        </w:rPr>
        <w:t xml:space="preserve"> ]</w:t>
      </w:r>
    </w:p>
    <w:p>
      <w:pPr>
        <w:pBdr>
          <w:bottom w:val="single" w:color="CCCCCC" w:sz="4"/>
        </w:pBdr>
        <w:spacing w:after="240" w:before="240"/>
      </w:pPr>
      <w:r>
        <w:t xml:space="preserve"/>
      </w:r>
    </w:p>
    <w:p>
      <w:pPr>
        <w:spacing w:after="80" w:before="240"/>
      </w:pPr>
      <w:r>
        <w:rPr>
          <w:rFonts w:ascii="Arial" w:cs="Arial" w:eastAsia="Arial" w:hAnsi="Arial"/>
          <w:b/>
          <w:bCs/>
          <w:sz w:val="22"/>
          <w:szCs w:val="22"/>
        </w:rPr>
        <w:t xml:space="preserve">END OF INSERTIONS</w:t>
      </w:r>
    </w:p>
    <w:p>
      <w:pPr>
        <w:spacing w:after="80" w:before="0"/>
      </w:pPr>
      <w:r>
        <w:rPr>
          <w:rFonts w:ascii="Arial" w:cs="Arial" w:eastAsia="Arial" w:hAnsi="Arial"/>
          <w:i/>
          <w:iCs/>
          <w:color w:val="666666"/>
          <w:sz w:val="20"/>
          <w:szCs w:val="20"/>
        </w:rPr>
        <w:t xml:space="preserve">Total new paragraphs: 26 numbered paragraphs + 4 definitions + section headers.</w:t>
      </w:r>
    </w:p>
    <w:p>
      <w:pPr>
        <w:spacing w:after="80" w:before="0"/>
      </w:pPr>
      <w:r>
        <w:rPr>
          <w:rFonts w:ascii="Arial" w:cs="Arial" w:eastAsia="Arial" w:hAnsi="Arial"/>
          <w:i/>
          <w:iCs/>
          <w:color w:val="666666"/>
          <w:sz w:val="20"/>
          <w:szCs w:val="20"/>
        </w:rPr>
        <w:t xml:space="preserve">No existing claims require structural change. Temperature is already 30–35°C throughout existing claims.</w:t>
      </w:r>
    </w:p>
    <w:p>
      <w:pPr>
        <w:spacing w:after="80" w:before="0"/>
      </w:pPr>
      <w:r>
        <w:rPr>
          <w:rFonts w:ascii="Arial" w:cs="Arial" w:eastAsia="Arial" w:hAnsi="Arial"/>
          <w:color w:val="666666"/>
          <w:sz w:val="20"/>
          <w:szCs w:val="20"/>
        </w:rPr>
        <w:t xml:space="preserve">Inventor: Jimmy Claude Brake Jr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2026-04-09T23:24:31.491Z</dcterms:created>
  <dcterms:modified xsi:type="dcterms:W3CDTF">2026-04-09T23:24:31.513Z</dcterms:modified>
</cp:coreProperties>
</file>

<file path=docProps/custom.xml><?xml version="1.0" encoding="utf-8"?>
<Properties xmlns="http://schemas.openxmlformats.org/officeDocument/2006/custom-properties" xmlns:vt="http://schemas.openxmlformats.org/officeDocument/2006/docPropsVTypes"/>
</file>