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F3050"/>
          <w:sz w:val="30"/>
          <w:szCs w:val="30"/>
        </w:rPr>
        <w:t xml:space="preserve">J Brantley Law, PLLC</w:t>
      </w:r>
    </w:p>
    <w:p>
      <w:pPr>
        <w:spacing w:after="200"/>
        <w:jc w:val="center"/>
      </w:pPr>
      <w:r>
        <w:rPr>
          <w:rFonts w:ascii="Calibri" w:cs="Calibri" w:eastAsia="Calibri" w:hAnsi="Calibri"/>
          <w:color w:val="555555"/>
          <w:sz w:val="16"/>
          <w:szCs w:val="16"/>
        </w:rPr>
        <w:t xml:space="preserve">5900 Balcones Dr., #9008, Austin, TX 78731   |   (210) 742-2435   |   jbrantley@jenniferbrantleylaw.com</w:t>
      </w:r>
    </w:p>
    <w:p>
      <w:pPr>
        <w:pBdr>
          <w:bottom w:val="single" w:color="C9A227" w:sz="6"/>
        </w:pBdr>
        <w:spacing w:after="200" w:before="60"/>
      </w:pPr>
    </w:p>
    <w:p>
      <w:pPr>
        <w:pStyle w:val="Heading1"/>
        <w:spacing w:after="120" w:before="280"/>
      </w:pPr>
      <w:r>
        <w:rPr>
          <w:rFonts w:ascii="Georgia" w:cs="Georgia" w:eastAsia="Georgia" w:hAnsi="Georgia"/>
          <w:b/>
          <w:bCs/>
          <w:color w:val="1F3050"/>
          <w:sz w:val="24"/>
          <w:szCs w:val="24"/>
        </w:rPr>
        <w:t xml:space="preserve">Business Formation Engagement Agreement</w:t>
      </w:r>
    </w:p>
    <w:p>
      <w:pPr>
        <w:spacing w:after="140" w:line="276"/>
      </w:pPr>
      <w:r>
        <w:rPr>
          <w:rFonts w:ascii="Calibri" w:cs="Calibri" w:eastAsia="Calibri" w:hAnsi="Calibri"/>
          <w:sz w:val="21"/>
          <w:szCs w:val="21"/>
        </w:rPr>
        <w:t xml:space="preserve">This Engagement Agreement ("Agreement") is entered into by and between J Brantley Law, PLLC ("Attorney" or "Firm"), and the undersigned individual or entity ("Client"), collectively the "Parties."</w:t>
      </w:r>
    </w:p>
    <w:p>
      <w:pPr>
        <w:spacing w:after="100" w:before="200"/>
      </w:pPr>
      <w:r>
        <w:rPr>
          <w:rFonts w:ascii="Calibri" w:cs="Calibri" w:eastAsia="Calibri" w:hAnsi="Calibri"/>
          <w:b/>
          <w:bCs/>
          <w:color w:val="1F3050"/>
          <w:sz w:val="22"/>
          <w:szCs w:val="22"/>
        </w:rPr>
        <w:t xml:space="preserve">Section 1. Scope of Engagement</w:t>
      </w:r>
    </w:p>
    <w:p>
      <w:pPr>
        <w:spacing w:after="140" w:line="276"/>
      </w:pPr>
      <w:r>
        <w:rPr>
          <w:rFonts w:ascii="Calibri" w:cs="Calibri" w:eastAsia="Calibri" w:hAnsi="Calibri"/>
          <w:sz w:val="21"/>
          <w:szCs w:val="21"/>
        </w:rPr>
        <w:t xml:space="preserve">Attorney is engaged to provide business formation services for Client's proposed or existing business entity in the jurisdiction Client elects below. The specific deliverables included in this engagement depend on the service tier Client elects in Section 2. This engagement does not include ongoing registered agent service, bookkeeping, tax return preparation, or securities compliance advice unless separately elected in writing.</w:t>
      </w:r>
    </w:p>
    <w:p>
      <w:pPr>
        <w:spacing w:after="100" w:before="200"/>
      </w:pPr>
      <w:r>
        <w:rPr>
          <w:rFonts w:ascii="Calibri" w:cs="Calibri" w:eastAsia="Calibri" w:hAnsi="Calibri"/>
          <w:b/>
          <w:bCs/>
          <w:color w:val="1F3050"/>
          <w:sz w:val="22"/>
          <w:szCs w:val="22"/>
        </w:rPr>
        <w:t xml:space="preserve">Section 2. Service Tier Election</w:t>
      </w:r>
    </w:p>
    <w:p>
      <w:pPr>
        <w:spacing w:after="140" w:line="276"/>
      </w:pPr>
      <w:r>
        <w:rPr>
          <w:rFonts w:ascii="Calibri" w:cs="Calibri" w:eastAsia="Calibri" w:hAnsi="Calibri"/>
          <w:sz w:val="21"/>
          <w:szCs w:val="21"/>
        </w:rPr>
        <w:t xml:space="preserve">Client elects one tier below (check one):</w:t>
      </w:r>
    </w:p>
    <w:p>
      <w:pPr>
        <w:spacing w:after="60" w:before="160"/>
      </w:pPr>
      <w:r>
        <w:rPr>
          <w:rFonts w:ascii="Calibri" w:cs="Calibri" w:eastAsia="Calibri" w:hAnsi="Calibri"/>
          <w:sz w:val="21"/>
          <w:szCs w:val="21"/>
        </w:rPr>
        <w:t xml:space="preserve">☐  </w:t>
      </w:r>
      <w:r>
        <w:rPr>
          <w:rFonts w:ascii="Calibri" w:cs="Calibri" w:eastAsia="Calibri" w:hAnsi="Calibri"/>
          <w:b/>
          <w:bCs/>
          <w:sz w:val="21"/>
          <w:szCs w:val="21"/>
        </w:rPr>
        <w:t xml:space="preserve">Launch Ready — $750</w:t>
      </w:r>
    </w:p>
    <w:p>
      <w:pPr>
        <w:pStyle w:val="ListParagraph"/>
        <w:numPr>
          <w:ilvl w:val="0"/>
          <w:numId w:val="1"/>
        </w:numPr>
        <w:spacing w:after="60"/>
      </w:pPr>
      <w:r>
        <w:rPr>
          <w:rFonts w:ascii="Calibri" w:cs="Calibri" w:eastAsia="Calibri" w:hAnsi="Calibri"/>
          <w:sz w:val="21"/>
          <w:szCs w:val="21"/>
        </w:rPr>
        <w:t xml:space="preserve">State LLC or Corporation filing (Texas or Georgia)</w:t>
      </w:r>
    </w:p>
    <w:p>
      <w:pPr>
        <w:pStyle w:val="ListParagraph"/>
        <w:numPr>
          <w:ilvl w:val="0"/>
          <w:numId w:val="1"/>
        </w:numPr>
        <w:spacing w:after="60"/>
      </w:pPr>
      <w:r>
        <w:rPr>
          <w:rFonts w:ascii="Calibri" w:cs="Calibri" w:eastAsia="Calibri" w:hAnsi="Calibri"/>
          <w:sz w:val="21"/>
          <w:szCs w:val="21"/>
        </w:rPr>
        <w:t xml:space="preserve">Certificate of Formation / Articles of Organization</w:t>
      </w:r>
    </w:p>
    <w:p>
      <w:pPr>
        <w:pStyle w:val="ListParagraph"/>
        <w:numPr>
          <w:ilvl w:val="0"/>
          <w:numId w:val="1"/>
        </w:numPr>
        <w:spacing w:after="60"/>
      </w:pPr>
      <w:r>
        <w:rPr>
          <w:rFonts w:ascii="Calibri" w:cs="Calibri" w:eastAsia="Calibri" w:hAnsi="Calibri"/>
          <w:sz w:val="21"/>
          <w:szCs w:val="21"/>
        </w:rPr>
        <w:t xml:space="preserve">Registered agent guidance</w:t>
      </w:r>
    </w:p>
    <w:p>
      <w:pPr>
        <w:pStyle w:val="ListParagraph"/>
        <w:numPr>
          <w:ilvl w:val="0"/>
          <w:numId w:val="1"/>
        </w:numPr>
        <w:spacing w:after="60"/>
      </w:pPr>
      <w:r>
        <w:rPr>
          <w:rFonts w:ascii="Calibri" w:cs="Calibri" w:eastAsia="Calibri" w:hAnsi="Calibri"/>
          <w:sz w:val="21"/>
          <w:szCs w:val="21"/>
        </w:rPr>
        <w:t xml:space="preserve">EIN application support</w:t>
      </w:r>
    </w:p>
    <w:p>
      <w:pPr>
        <w:pStyle w:val="ListParagraph"/>
        <w:numPr>
          <w:ilvl w:val="0"/>
          <w:numId w:val="1"/>
        </w:numPr>
        <w:spacing w:after="60"/>
      </w:pPr>
      <w:r>
        <w:rPr>
          <w:rFonts w:ascii="Calibri" w:cs="Calibri" w:eastAsia="Calibri" w:hAnsi="Calibri"/>
          <w:sz w:val="21"/>
          <w:szCs w:val="21"/>
        </w:rPr>
        <w:t xml:space="preserve">30-minute onboarding call</w:t>
      </w:r>
    </w:p>
    <w:p>
      <w:pPr>
        <w:spacing w:after="60" w:before="160"/>
      </w:pPr>
      <w:r>
        <w:rPr>
          <w:rFonts w:ascii="Calibri" w:cs="Calibri" w:eastAsia="Calibri" w:hAnsi="Calibri"/>
          <w:sz w:val="21"/>
          <w:szCs w:val="21"/>
        </w:rPr>
        <w:t xml:space="preserve">☐  </w:t>
      </w:r>
      <w:r>
        <w:rPr>
          <w:rFonts w:ascii="Calibri" w:cs="Calibri" w:eastAsia="Calibri" w:hAnsi="Calibri"/>
          <w:b/>
          <w:bCs/>
          <w:sz w:val="21"/>
          <w:szCs w:val="21"/>
        </w:rPr>
        <w:t xml:space="preserve">Formation Plus — $1,500</w:t>
      </w:r>
    </w:p>
    <w:p>
      <w:pPr>
        <w:pStyle w:val="ListParagraph"/>
        <w:numPr>
          <w:ilvl w:val="0"/>
          <w:numId w:val="1"/>
        </w:numPr>
        <w:spacing w:after="60"/>
      </w:pPr>
      <w:r>
        <w:rPr>
          <w:rFonts w:ascii="Calibri" w:cs="Calibri" w:eastAsia="Calibri" w:hAnsi="Calibri"/>
          <w:sz w:val="21"/>
          <w:szCs w:val="21"/>
        </w:rPr>
        <w:t xml:space="preserve">Everything in Launch Ready</w:t>
      </w:r>
    </w:p>
    <w:p>
      <w:pPr>
        <w:pStyle w:val="ListParagraph"/>
        <w:numPr>
          <w:ilvl w:val="0"/>
          <w:numId w:val="1"/>
        </w:numPr>
        <w:spacing w:after="60"/>
      </w:pPr>
      <w:r>
        <w:rPr>
          <w:rFonts w:ascii="Calibri" w:cs="Calibri" w:eastAsia="Calibri" w:hAnsi="Calibri"/>
          <w:sz w:val="21"/>
          <w:szCs w:val="21"/>
        </w:rPr>
        <w:t xml:space="preserve">Single-member or multi-member operating agreement</w:t>
      </w:r>
    </w:p>
    <w:p>
      <w:pPr>
        <w:pStyle w:val="ListParagraph"/>
        <w:numPr>
          <w:ilvl w:val="0"/>
          <w:numId w:val="1"/>
        </w:numPr>
        <w:spacing w:after="60"/>
      </w:pPr>
      <w:r>
        <w:rPr>
          <w:rFonts w:ascii="Calibri" w:cs="Calibri" w:eastAsia="Calibri" w:hAnsi="Calibri"/>
          <w:sz w:val="21"/>
          <w:szCs w:val="21"/>
        </w:rPr>
        <w:t xml:space="preserve">S-Corp election filing (if applicable)</w:t>
      </w:r>
    </w:p>
    <w:p>
      <w:pPr>
        <w:pStyle w:val="ListParagraph"/>
        <w:numPr>
          <w:ilvl w:val="0"/>
          <w:numId w:val="1"/>
        </w:numPr>
        <w:spacing w:after="60"/>
      </w:pPr>
      <w:r>
        <w:rPr>
          <w:rFonts w:ascii="Calibri" w:cs="Calibri" w:eastAsia="Calibri" w:hAnsi="Calibri"/>
          <w:sz w:val="21"/>
          <w:szCs w:val="21"/>
        </w:rPr>
        <w:t xml:space="preserve">Initial resolutions</w:t>
      </w:r>
    </w:p>
    <w:p>
      <w:pPr>
        <w:pStyle w:val="ListParagraph"/>
        <w:numPr>
          <w:ilvl w:val="0"/>
          <w:numId w:val="1"/>
        </w:numPr>
        <w:spacing w:after="60"/>
      </w:pPr>
      <w:r>
        <w:rPr>
          <w:rFonts w:ascii="Calibri" w:cs="Calibri" w:eastAsia="Calibri" w:hAnsi="Calibri"/>
          <w:sz w:val="21"/>
          <w:szCs w:val="21"/>
        </w:rPr>
        <w:t xml:space="preserve">Registered agent setup guidance (1 year)</w:t>
      </w:r>
    </w:p>
    <w:p>
      <w:pPr>
        <w:pStyle w:val="ListParagraph"/>
        <w:numPr>
          <w:ilvl w:val="0"/>
          <w:numId w:val="1"/>
        </w:numPr>
        <w:spacing w:after="60"/>
      </w:pPr>
      <w:r>
        <w:rPr>
          <w:rFonts w:ascii="Calibri" w:cs="Calibri" w:eastAsia="Calibri" w:hAnsi="Calibri"/>
          <w:sz w:val="21"/>
          <w:szCs w:val="21"/>
        </w:rPr>
        <w:t xml:space="preserve">60-minute strategy call</w:t>
      </w:r>
    </w:p>
    <w:p>
      <w:pPr>
        <w:spacing w:after="60" w:before="160"/>
      </w:pPr>
      <w:r>
        <w:rPr>
          <w:rFonts w:ascii="Calibri" w:cs="Calibri" w:eastAsia="Calibri" w:hAnsi="Calibri"/>
          <w:sz w:val="21"/>
          <w:szCs w:val="21"/>
        </w:rPr>
        <w:t xml:space="preserve">☐  </w:t>
      </w:r>
      <w:r>
        <w:rPr>
          <w:rFonts w:ascii="Calibri" w:cs="Calibri" w:eastAsia="Calibri" w:hAnsi="Calibri"/>
          <w:b/>
          <w:bCs/>
          <w:sz w:val="21"/>
          <w:szCs w:val="21"/>
        </w:rPr>
        <w:t xml:space="preserve">Business Built — $2,750</w:t>
      </w:r>
    </w:p>
    <w:p>
      <w:pPr>
        <w:pStyle w:val="ListParagraph"/>
        <w:numPr>
          <w:ilvl w:val="0"/>
          <w:numId w:val="1"/>
        </w:numPr>
        <w:spacing w:after="60"/>
      </w:pPr>
      <w:r>
        <w:rPr>
          <w:rFonts w:ascii="Calibri" w:cs="Calibri" w:eastAsia="Calibri" w:hAnsi="Calibri"/>
          <w:sz w:val="21"/>
          <w:szCs w:val="21"/>
        </w:rPr>
        <w:t xml:space="preserve">Everything in Formation Plus</w:t>
      </w:r>
    </w:p>
    <w:p>
      <w:pPr>
        <w:pStyle w:val="ListParagraph"/>
        <w:numPr>
          <w:ilvl w:val="0"/>
          <w:numId w:val="1"/>
        </w:numPr>
        <w:spacing w:after="60"/>
      </w:pPr>
      <w:r>
        <w:rPr>
          <w:rFonts w:ascii="Calibri" w:cs="Calibri" w:eastAsia="Calibri" w:hAnsi="Calibri"/>
          <w:sz w:val="21"/>
          <w:szCs w:val="21"/>
        </w:rPr>
        <w:t xml:space="preserve">Custom multi-member operating agreement</w:t>
      </w:r>
    </w:p>
    <w:p>
      <w:pPr>
        <w:pStyle w:val="ListParagraph"/>
        <w:numPr>
          <w:ilvl w:val="0"/>
          <w:numId w:val="1"/>
        </w:numPr>
        <w:spacing w:after="60"/>
      </w:pPr>
      <w:r>
        <w:rPr>
          <w:rFonts w:ascii="Calibri" w:cs="Calibri" w:eastAsia="Calibri" w:hAnsi="Calibri"/>
          <w:sz w:val="21"/>
          <w:szCs w:val="21"/>
        </w:rPr>
        <w:t xml:space="preserve">Founders agreement / buy-sell provisions</w:t>
      </w:r>
    </w:p>
    <w:p>
      <w:pPr>
        <w:pStyle w:val="ListParagraph"/>
        <w:numPr>
          <w:ilvl w:val="0"/>
          <w:numId w:val="1"/>
        </w:numPr>
        <w:spacing w:after="60"/>
      </w:pPr>
      <w:r>
        <w:rPr>
          <w:rFonts w:ascii="Calibri" w:cs="Calibri" w:eastAsia="Calibri" w:hAnsi="Calibri"/>
          <w:sz w:val="21"/>
          <w:szCs w:val="21"/>
        </w:rPr>
        <w:t xml:space="preserve">One contractor or employment agreement</w:t>
      </w:r>
    </w:p>
    <w:p>
      <w:pPr>
        <w:pStyle w:val="ListParagraph"/>
        <w:numPr>
          <w:ilvl w:val="0"/>
          <w:numId w:val="1"/>
        </w:numPr>
        <w:spacing w:after="60"/>
      </w:pPr>
      <w:r>
        <w:rPr>
          <w:rFonts w:ascii="Calibri" w:cs="Calibri" w:eastAsia="Calibri" w:hAnsi="Calibri"/>
          <w:sz w:val="21"/>
          <w:szCs w:val="21"/>
        </w:rPr>
        <w:t xml:space="preserve">FEIN and state tax registration guidance</w:t>
      </w:r>
    </w:p>
    <w:p>
      <w:pPr>
        <w:pStyle w:val="ListParagraph"/>
        <w:numPr>
          <w:ilvl w:val="0"/>
          <w:numId w:val="1"/>
        </w:numPr>
        <w:spacing w:after="60"/>
      </w:pPr>
      <w:r>
        <w:rPr>
          <w:rFonts w:ascii="Calibri" w:cs="Calibri" w:eastAsia="Calibri" w:hAnsi="Calibri"/>
          <w:sz w:val="21"/>
          <w:szCs w:val="21"/>
        </w:rPr>
        <w:t xml:space="preserve">90-minute launch strategy call</w:t>
      </w:r>
    </w:p>
    <w:p>
      <w:pPr>
        <w:pStyle w:val="ListParagraph"/>
        <w:numPr>
          <w:ilvl w:val="0"/>
          <w:numId w:val="1"/>
        </w:numPr>
        <w:spacing w:after="60"/>
      </w:pPr>
      <w:r>
        <w:rPr>
          <w:rFonts w:ascii="Calibri" w:cs="Calibri" w:eastAsia="Calibri" w:hAnsi="Calibri"/>
          <w:sz w:val="21"/>
          <w:szCs w:val="21"/>
        </w:rPr>
        <w:t xml:space="preserve">30 days of post-formation email support</w:t>
      </w:r>
    </w:p>
    <w:p>
      <w:pPr>
        <w:spacing w:after="140" w:line="276"/>
      </w:pPr>
      <w:r>
        <w:rPr>
          <w:rFonts w:ascii="Calibri" w:cs="Calibri" w:eastAsia="Calibri" w:hAnsi="Calibri"/>
          <w:i/>
          <w:iCs/>
          <w:color w:val="555555"/>
          <w:sz w:val="19"/>
          <w:szCs w:val="19"/>
        </w:rPr>
        <w:t xml:space="preserve">State filing fees are a separate government cost paid directly to the Texas or Georgia Secretary of State and are not included in the attorney fee stated above. Current approximate filing fees are $300 for a Texas LLC or corporation and $100 for a Georgia LLC or corporation; Client should confirm current fees before filing, as these amounts are subject to change by the state.</w:t>
      </w:r>
    </w:p>
    <w:p>
      <w:pPr>
        <w:spacing w:after="100" w:before="200"/>
      </w:pPr>
      <w:r>
        <w:rPr>
          <w:rFonts w:ascii="Calibri" w:cs="Calibri" w:eastAsia="Calibri" w:hAnsi="Calibri"/>
          <w:b/>
          <w:bCs/>
          <w:color w:val="1F3050"/>
          <w:sz w:val="22"/>
          <w:szCs w:val="22"/>
        </w:rPr>
        <w:t xml:space="preserve">Section 3. Fee and Payment</w:t>
      </w:r>
    </w:p>
    <w:p>
      <w:pPr>
        <w:spacing w:after="140" w:line="276"/>
      </w:pPr>
      <w:r>
        <w:rPr>
          <w:rFonts w:ascii="Calibri" w:cs="Calibri" w:eastAsia="Calibri" w:hAnsi="Calibri"/>
          <w:sz w:val="21"/>
          <w:szCs w:val="21"/>
        </w:rPr>
        <w:t xml:space="preserve">The total fee for the elected service is due in full at the time Client signs this Agreement, payable through the Firm's online payment portal. Advance fees are deposited into Attorney's IOLTA trust account and are released to Attorney's operating account only as earned under the milestones in the following section.</w:t>
      </w:r>
    </w:p>
    <w:p>
      <w:pPr>
        <w:spacing w:after="140" w:line="276"/>
      </w:pPr>
      <w:r>
        <w:rPr>
          <w:rFonts w:ascii="Calibri" w:cs="Calibri" w:eastAsia="Calibri" w:hAnsi="Calibri"/>
          <w:sz w:val="21"/>
          <w:szCs w:val="21"/>
        </w:rPr>
        <w:t xml:space="preserve">If Client wishes to pay in installments rather than in full at signing, Client may request an installment payment plan before signing. Any installment plan must be set up through Attorney's practice management system and requires a saved payment method on file. Amounts collected under an installment plan remain unearned advance fees held in trust until earned under the milestones in the following section, regardless of the collection schedule, and installment payments do not begin the engagement or reserve Attorney's services until the plan is approved and the first payment is processed.</w:t>
      </w:r>
    </w:p>
    <w:p>
      <w:pPr>
        <w:spacing w:after="140" w:line="276"/>
      </w:pPr>
      <w:r>
        <w:rPr>
          <w:rFonts w:ascii="Calibri" w:cs="Calibri" w:eastAsia="Calibri" w:hAnsi="Calibri"/>
          <w:sz w:val="21"/>
          <w:szCs w:val="21"/>
        </w:rPr>
        <w:t xml:space="preserve">Invoices for any out-of-scope work billed under this Agreement are due within 7 days of the invoice date. Client authorizes automatic billing of any card or payment method on file for amounts due under this Agreement. Where no card is on file, unpaid balances accrue a late fee of 1.5% per month (18% per annum maximum). Attorney reserves the right to suspend services for any account with an unpaid balance more than 30 days past due.</w:t>
      </w:r>
    </w:p>
    <w:p>
      <w:pPr>
        <w:spacing w:after="100" w:before="200"/>
      </w:pPr>
      <w:r>
        <w:rPr>
          <w:rFonts w:ascii="Calibri" w:cs="Calibri" w:eastAsia="Calibri" w:hAnsi="Calibri"/>
          <w:b/>
          <w:bCs/>
          <w:color w:val="1F3050"/>
          <w:sz w:val="22"/>
          <w:szCs w:val="22"/>
        </w:rPr>
        <w:t xml:space="preserve">Section 4. Fee Earning Milestones</w:t>
      </w:r>
    </w:p>
    <w:p>
      <w:pPr>
        <w:spacing w:after="140" w:line="276"/>
      </w:pPr>
      <w:r>
        <w:rPr>
          <w:rFonts w:ascii="Calibri" w:cs="Calibri" w:eastAsia="Calibri" w:hAnsi="Calibri"/>
          <w:sz w:val="21"/>
          <w:szCs w:val="21"/>
        </w:rPr>
        <w:t xml:space="preserve">The fee is earned by Attorney, and transferred from the Firm's IOLTA trust account to Attorney's operating account, according to the following milestones: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1F3050" w:val="clear"/>
          </w:tcPr>
          <w:p>
            <w:r>
              <w:rPr>
                <w:rFonts w:ascii="Calibri" w:cs="Calibri" w:eastAsia="Calibri" w:hAnsi="Calibri"/>
                <w:b/>
                <w:bCs/>
                <w:color w:val="FFFFFF"/>
                <w:sz w:val="20"/>
                <w:szCs w:val="20"/>
              </w:rPr>
              <w:t xml:space="preserve">Milestone</w:t>
            </w:r>
          </w:p>
        </w:tc>
        <w:tc>
          <w:tcPr>
            <w:tcW w:type="dxa" w:w="3000"/>
            <w:shd w:fill="1F3050" w:val="clear"/>
          </w:tcPr>
          <w:p>
            <w:pPr>
              <w:jc w:val="center"/>
            </w:pPr>
            <w:r>
              <w:rPr>
                <w:rFonts w:ascii="Calibri" w:cs="Calibri" w:eastAsia="Calibri" w:hAnsi="Calibri"/>
                <w:b/>
                <w:bCs/>
                <w:color w:val="FFFFFF"/>
                <w:sz w:val="20"/>
                <w:szCs w:val="20"/>
              </w:rPr>
              <w:t xml:space="preserve">Portion Earned</w:t>
            </w:r>
          </w:p>
        </w:tc>
      </w:tr>
      <w:tr>
        <w:tc>
          <w:tcPr>
            <w:tcW w:type="dxa" w:w="6350"/>
            <w:shd w:fill="FAF7F0" w:val="clear"/>
          </w:tcPr>
          <w:p>
            <w:r>
              <w:rPr>
                <w:rFonts w:ascii="Calibri" w:cs="Calibri" w:eastAsia="Calibri" w:hAnsi="Calibri"/>
                <w:sz w:val="20"/>
                <w:szCs w:val="20"/>
              </w:rPr>
              <w:t xml:space="preserve">Submission of the formation filing with the Secretary of State</w:t>
            </w:r>
          </w:p>
        </w:tc>
        <w:tc>
          <w:tcPr>
            <w:tcW w:type="dxa" w:w="3000"/>
            <w:shd w:fill="FAF7F0" w:val="clear"/>
          </w:tcPr>
          <w:p>
            <w:pPr>
              <w:jc w:val="center"/>
            </w:pPr>
            <w:r>
              <w:rPr>
                <w:rFonts w:ascii="Calibri" w:cs="Calibri" w:eastAsia="Calibri" w:hAnsi="Calibri"/>
                <w:b/>
                <w:bCs/>
                <w:color w:val="1F3050"/>
                <w:sz w:val="20"/>
                <w:szCs w:val="20"/>
              </w:rPr>
              <w:t xml:space="preserve">50%</w:t>
            </w:r>
          </w:p>
        </w:tc>
      </w:tr>
      <w:tr>
        <w:tc>
          <w:tcPr>
            <w:tcW w:type="dxa" w:w="6350"/>
            <w:shd w:fill="FFFFFF" w:val="clear"/>
          </w:tcPr>
          <w:p>
            <w:r>
              <w:rPr>
                <w:rFonts w:ascii="Calibri" w:cs="Calibri" w:eastAsia="Calibri" w:hAnsi="Calibri"/>
                <w:sz w:val="20"/>
                <w:szCs w:val="20"/>
              </w:rPr>
              <w:t xml:space="preserve">Delivery of the remaining engagement deliverables (e.g., operating agreement, resolutions)</w:t>
            </w:r>
          </w:p>
        </w:tc>
        <w:tc>
          <w:tcPr>
            <w:tcW w:type="dxa" w:w="3000"/>
            <w:shd w:fill="FFFFFF" w:val="clear"/>
          </w:tcPr>
          <w:p>
            <w:pPr>
              <w:jc w:val="center"/>
            </w:pPr>
            <w:r>
              <w:rPr>
                <w:rFonts w:ascii="Calibri" w:cs="Calibri" w:eastAsia="Calibri" w:hAnsi="Calibri"/>
                <w:b/>
                <w:bCs/>
                <w:color w:val="1F3050"/>
                <w:sz w:val="20"/>
                <w:szCs w:val="20"/>
              </w:rPr>
              <w:t xml:space="preserve">50%</w:t>
            </w:r>
          </w:p>
        </w:tc>
      </w:tr>
    </w:tbl>
    <w:p>
      <w:pPr>
        <w:spacing w:after="140" w:line="276"/>
      </w:pPr>
      <w:r>
        <w:rPr>
          <w:rFonts w:ascii="Calibri" w:cs="Calibri" w:eastAsia="Calibri" w:hAnsi="Calibri"/>
          <w:i/>
          <w:iCs/>
          <w:color w:val="555555"/>
          <w:sz w:val="19"/>
          <w:szCs w:val="19"/>
        </w:rPr>
        <w:t xml:space="preserve">For the Launch Ready tier, which does not include deliverables beyond the state filing, the entire fee is earned upon filing.</w:t>
      </w:r>
    </w:p>
    <w:p>
      <w:pPr>
        <w:spacing w:after="100" w:before="200"/>
      </w:pPr>
      <w:r>
        <w:rPr>
          <w:rFonts w:ascii="Calibri" w:cs="Calibri" w:eastAsia="Calibri" w:hAnsi="Calibri"/>
          <w:b/>
          <w:bCs/>
          <w:color w:val="1F3050"/>
          <w:sz w:val="22"/>
          <w:szCs w:val="22"/>
        </w:rPr>
        <w:t xml:space="preserve">Section 5. Deliverables and Acceptance</w:t>
      </w:r>
    </w:p>
    <w:p>
      <w:pPr>
        <w:spacing w:after="140" w:line="276"/>
      </w:pPr>
      <w:r>
        <w:rPr>
          <w:rFonts w:ascii="Calibri" w:cs="Calibri" w:eastAsia="Calibri" w:hAnsi="Calibri"/>
          <w:sz w:val="21"/>
          <w:szCs w:val="21"/>
        </w:rPr>
        <w:t xml:space="preserve">Client has 5 business days from the date of delivery to review the deliverable and request revisions within the scope of this engagement. The deliverable is deemed accepted if Attorney receives no written objection within that period. Revisions requested outside that window, or revisions that exceed the scope of this engagement, will be billed as an out-of-scope service at Attorney's then-current hourly rate.</w:t>
      </w:r>
    </w:p>
    <w:p>
      <w:pPr>
        <w:spacing w:after="100" w:before="200"/>
      </w:pPr>
      <w:r>
        <w:rPr>
          <w:rFonts w:ascii="Calibri" w:cs="Calibri" w:eastAsia="Calibri" w:hAnsi="Calibri"/>
          <w:b/>
          <w:bCs/>
          <w:color w:val="1F3050"/>
          <w:sz w:val="22"/>
          <w:szCs w:val="22"/>
        </w:rPr>
        <w:t xml:space="preserve">Section 6. Client Responsibilities</w:t>
      </w:r>
    </w:p>
    <w:p>
      <w:pPr>
        <w:spacing w:after="140" w:line="276"/>
      </w:pPr>
      <w:r>
        <w:rPr>
          <w:rFonts w:ascii="Calibri" w:cs="Calibri" w:eastAsia="Calibri" w:hAnsi="Calibri"/>
          <w:sz w:val="21"/>
          <w:szCs w:val="21"/>
        </w:rPr>
        <w:t xml:space="preserve">Client agrees to provide complete and accurate information necessary for Attorney to perform the services described in this Agreement, and to respond to Attorney's requests in a timely manner. Delay in providing requested information may delay delivery of the deliverable and, where applicable, may extend USPTO or state filing timelines beyond Attorney's control.</w:t>
      </w:r>
    </w:p>
    <w:p>
      <w:pPr>
        <w:spacing w:after="100" w:before="200"/>
      </w:pPr>
      <w:r>
        <w:rPr>
          <w:rFonts w:ascii="Calibri" w:cs="Calibri" w:eastAsia="Calibri" w:hAnsi="Calibri"/>
          <w:b/>
          <w:bCs/>
          <w:color w:val="1F3050"/>
          <w:sz w:val="22"/>
          <w:szCs w:val="22"/>
        </w:rPr>
        <w:t xml:space="preserve">Section 7. Communication and Business Hours</w:t>
      </w:r>
    </w:p>
    <w:p>
      <w:pPr>
        <w:spacing w:after="140" w:line="276"/>
      </w:pPr>
      <w:r>
        <w:rPr>
          <w:rFonts w:ascii="Calibri" w:cs="Calibri" w:eastAsia="Calibri" w:hAnsi="Calibri"/>
          <w:sz w:val="21"/>
          <w:szCs w:val="21"/>
        </w:rPr>
        <w:t xml:space="preserve">The Firm's business hours are Monday through Friday, 9:30 a.m. to 4:30 p.m. Central Time. Attorney has no obligation to respond to communications received outside of business hours, and after-hours voicemails may be deleted without response. Attorney reserves the right to bill any expedited or after-hours request at Attorney's then-current hourly rate.</w:t>
      </w:r>
    </w:p>
    <w:p>
      <w:pPr>
        <w:spacing w:after="100" w:before="200"/>
      </w:pPr>
      <w:r>
        <w:rPr>
          <w:rFonts w:ascii="Calibri" w:cs="Calibri" w:eastAsia="Calibri" w:hAnsi="Calibri"/>
          <w:b/>
          <w:bCs/>
          <w:color w:val="1F3050"/>
          <w:sz w:val="22"/>
          <w:szCs w:val="22"/>
        </w:rPr>
        <w:t xml:space="preserve">Section 8. Confidentiality</w:t>
      </w:r>
    </w:p>
    <w:p>
      <w:pPr>
        <w:spacing w:after="140" w:line="276"/>
      </w:pPr>
      <w:r>
        <w:rPr>
          <w:rFonts w:ascii="Calibri" w:cs="Calibri" w:eastAsia="Calibri" w:hAnsi="Calibri"/>
          <w:sz w:val="21"/>
          <w:szCs w:val="21"/>
        </w:rPr>
        <w:t xml:space="preserve">Attorney will maintain the confidentiality of information Client provides in connection with this engagement, consistent with Georgia Rule of Professional Conduct 1.6 and Texas Disciplinary Rule of Professional Conduct 1.05.</w:t>
      </w:r>
    </w:p>
    <w:p>
      <w:pPr>
        <w:spacing w:after="100" w:before="200"/>
      </w:pPr>
      <w:r>
        <w:rPr>
          <w:rFonts w:ascii="Calibri" w:cs="Calibri" w:eastAsia="Calibri" w:hAnsi="Calibri"/>
          <w:b/>
          <w:bCs/>
          <w:color w:val="1F3050"/>
          <w:sz w:val="22"/>
          <w:szCs w:val="22"/>
        </w:rPr>
        <w:t xml:space="preserve">Section 9. Termination</w:t>
      </w:r>
    </w:p>
    <w:p>
      <w:pPr>
        <w:spacing w:after="140" w:line="276"/>
      </w:pPr>
      <w:r>
        <w:rPr>
          <w:rFonts w:ascii="Calibri" w:cs="Calibri" w:eastAsia="Calibri" w:hAnsi="Calibri"/>
          <w:sz w:val="21"/>
          <w:szCs w:val="21"/>
        </w:rPr>
        <w:t xml:space="preserve">Either Party may terminate this Agreement as provided under Georgia Rule of Professional Conduct 1.16 and Texas Disciplinary Rule of Professional Conduct 1.15. Fees for work performed prior to termination are earned and non-refundable. Any unearned trust deposit will be refunded to Client following termination.</w:t>
      </w:r>
    </w:p>
    <w:p>
      <w:pPr>
        <w:spacing w:after="100" w:before="200"/>
      </w:pPr>
      <w:r>
        <w:rPr>
          <w:rFonts w:ascii="Calibri" w:cs="Calibri" w:eastAsia="Calibri" w:hAnsi="Calibri"/>
          <w:b/>
          <w:bCs/>
          <w:color w:val="1F3050"/>
          <w:sz w:val="22"/>
          <w:szCs w:val="22"/>
        </w:rPr>
        <w:t xml:space="preserve">Section 10. Malpractice Insurance Disclosure</w:t>
      </w:r>
    </w:p>
    <w:p>
      <w:pPr>
        <w:spacing w:after="140" w:line="276"/>
      </w:pPr>
      <w:r>
        <w:rPr>
          <w:rFonts w:ascii="Calibri" w:cs="Calibri" w:eastAsia="Calibri" w:hAnsi="Calibri"/>
          <w:sz w:val="21"/>
          <w:szCs w:val="21"/>
        </w:rPr>
        <w:t xml:space="preserve">Attorney carries professional liability (malpractice) insurance.</w:t>
      </w:r>
    </w:p>
    <w:p>
      <w:pPr>
        <w:spacing w:after="100" w:before="200"/>
      </w:pPr>
      <w:r>
        <w:rPr>
          <w:rFonts w:ascii="Calibri" w:cs="Calibri" w:eastAsia="Calibri" w:hAnsi="Calibri"/>
          <w:b/>
          <w:bCs/>
          <w:color w:val="1F3050"/>
          <w:sz w:val="22"/>
          <w:szCs w:val="22"/>
        </w:rPr>
        <w:t xml:space="preserve">Section 11. Dispute Resolution</w:t>
      </w:r>
    </w:p>
    <w:p>
      <w:pPr>
        <w:spacing w:after="140" w:line="276"/>
      </w:pPr>
      <w:r>
        <w:rPr>
          <w:rFonts w:ascii="Calibri" w:cs="Calibri" w:eastAsia="Calibri" w:hAnsi="Calibri"/>
          <w:sz w:val="21"/>
          <w:szCs w:val="21"/>
        </w:rPr>
        <w:t xml:space="preserve">Any dispute regarding fees arising under this Agreement is subject to a seven (7) day written notice period as a good faith prerequisite to formal proceedings. If the dispute is not resolved within that period, it will be submitted to binding arbitration administered under the State Bar of Texas fee dispute and arbitration procedures, before a single arbitrator, with each Party bearing its own costs and fees. Both Parties waive the right to a jury trial.</w:t>
      </w:r>
    </w:p>
    <w:p>
      <w:pPr>
        <w:spacing w:after="100" w:before="200"/>
      </w:pPr>
      <w:r>
        <w:rPr>
          <w:rFonts w:ascii="Calibri" w:cs="Calibri" w:eastAsia="Calibri" w:hAnsi="Calibri"/>
          <w:b/>
          <w:bCs/>
          <w:color w:val="1F3050"/>
          <w:sz w:val="22"/>
          <w:szCs w:val="22"/>
        </w:rPr>
        <w:t xml:space="preserve">Section 12. Governing Law</w:t>
      </w:r>
    </w:p>
    <w:p>
      <w:pPr>
        <w:spacing w:after="60" w:before="100"/>
      </w:pPr>
      <w:r>
        <w:rPr>
          <w:rFonts w:ascii="Calibri" w:cs="Calibri" w:eastAsia="Calibri" w:hAnsi="Calibri"/>
          <w:sz w:val="21"/>
          <w:szCs w:val="21"/>
        </w:rPr>
        <w:t xml:space="preserve">☐  </w:t>
      </w:r>
      <w:r>
        <w:rPr>
          <w:rFonts w:ascii="Calibri" w:cs="Calibri" w:eastAsia="Calibri" w:hAnsi="Calibri"/>
          <w:b w:val="false"/>
          <w:bCs w:val="false"/>
          <w:sz w:val="21"/>
          <w:szCs w:val="21"/>
        </w:rPr>
        <w:t xml:space="preserve">Client's state of residence and governing law for this engagement is Georgia</w:t>
      </w:r>
    </w:p>
    <w:p>
      <w:pPr>
        <w:spacing w:after="60" w:before="100"/>
      </w:pPr>
      <w:r>
        <w:rPr>
          <w:rFonts w:ascii="Calibri" w:cs="Calibri" w:eastAsia="Calibri" w:hAnsi="Calibri"/>
          <w:sz w:val="21"/>
          <w:szCs w:val="21"/>
        </w:rPr>
        <w:t xml:space="preserve">☐  </w:t>
      </w:r>
      <w:r>
        <w:rPr>
          <w:rFonts w:ascii="Calibri" w:cs="Calibri" w:eastAsia="Calibri" w:hAnsi="Calibri"/>
          <w:b w:val="false"/>
          <w:bCs w:val="false"/>
          <w:sz w:val="21"/>
          <w:szCs w:val="21"/>
        </w:rPr>
        <w:t xml:space="preserve">Client's state of residence and governing law for this engagement is Texas</w:t>
      </w:r>
    </w:p>
    <w:p>
      <w:pPr>
        <w:spacing w:after="100" w:before="200"/>
      </w:pPr>
      <w:r>
        <w:rPr>
          <w:rFonts w:ascii="Calibri" w:cs="Calibri" w:eastAsia="Calibri" w:hAnsi="Calibri"/>
          <w:b/>
          <w:bCs/>
          <w:color w:val="1F3050"/>
          <w:sz w:val="22"/>
          <w:szCs w:val="22"/>
        </w:rPr>
        <w:t xml:space="preserve">Section 13. Entire Agreement</w:t>
      </w:r>
    </w:p>
    <w:p>
      <w:pPr>
        <w:spacing w:after="140" w:line="276"/>
      </w:pPr>
      <w:r>
        <w:rPr>
          <w:rFonts w:ascii="Calibri" w:cs="Calibri" w:eastAsia="Calibri" w:hAnsi="Calibri"/>
          <w:sz w:val="21"/>
          <w:szCs w:val="21"/>
        </w:rPr>
        <w:t xml:space="preserve">This Agreement constitutes the entire agreement between the Parties regarding the subject matter described above and supersedes all prior discussions, whether oral or written, regarding this engagement.</w:t>
      </w:r>
    </w:p>
    <w:p>
      <w:pPr>
        <w:spacing w:after="100" w:before="200"/>
      </w:pPr>
      <w:r>
        <w:rPr>
          <w:rFonts w:ascii="Calibri" w:cs="Calibri" w:eastAsia="Calibri" w:hAnsi="Calibri"/>
          <w:b/>
          <w:bCs/>
          <w:color w:val="1F3050"/>
          <w:sz w:val="22"/>
          <w:szCs w:val="22"/>
        </w:rPr>
        <w:t xml:space="preserve">Signatures</w:t>
      </w:r>
    </w:p>
    <w:p>
      <w:pPr>
        <w:spacing w:after="140" w:line="276"/>
      </w:pPr>
      <w:r>
        <w:rPr>
          <w:rFonts w:ascii="Calibri" w:cs="Calibri" w:eastAsia="Calibri" w:hAnsi="Calibri"/>
          <w:sz w:val="21"/>
          <w:szCs w:val="21"/>
        </w:rPr>
        <w:t xml:space="preserve">By signing below, Client acknowledges having read and agreed to the terms of this Agreement, including the elected service(s) and fee stated above, and authorizes the payment terms described in this Agreement.</w:t>
      </w:r>
    </w:p>
    <w:p>
      <w:pPr>
        <w:spacing w:after="140" w:line="276"/>
      </w:pPr>
      <w:r>
        <w:rPr>
          <w:rFonts w:ascii="Calibri" w:cs="Calibri" w:eastAsia="Calibri" w:hAnsi="Calibri"/>
          <w:b/>
          <w:bCs/>
          <w:sz w:val="21"/>
          <w:szCs w:val="21"/>
        </w:rPr>
        <w:t xml:space="preserve">Client:</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Signature                                             Date</w:t>
      </w:r>
    </w:p>
    <w:p>
      <w:pPr>
        <w:spacing w:after="140" w:line="276"/>
      </w:pPr>
      <w:r>
        <w:rPr>
          <w:rFonts w:ascii="Calibri" w:cs="Calibri" w:eastAsia="Calibri" w:hAnsi="Calibri"/>
          <w:sz w:val="21"/>
          <w:szCs w:val="21"/>
        </w:rPr>
        <w:t xml:space="preserve">Printed Name: [Client Name]</w:t>
      </w:r>
    </w:p>
    <w:p>
      <w:pPr>
        <w:spacing w:after="140" w:line="276"/>
      </w:pPr>
      <w:r>
        <w:rPr>
          <w:rFonts w:ascii="Calibri" w:cs="Calibri" w:eastAsia="Calibri" w:hAnsi="Calibri"/>
          <w:b/>
          <w:bCs/>
          <w:sz w:val="21"/>
          <w:szCs w:val="21"/>
        </w:rPr>
        <w:t xml:space="preserve">Attorney:</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Jennifer N. Brantley, Esq.                                 Date</w:t>
      </w:r>
    </w:p>
    <w:p>
      <w:pPr>
        <w:spacing w:after="140" w:line="276"/>
      </w:pPr>
      <w:r>
        <w:rPr>
          <w:rFonts w:ascii="Calibri" w:cs="Calibri" w:eastAsia="Calibri" w:hAnsi="Calibri"/>
          <w:sz w:val="21"/>
          <w:szCs w:val="21"/>
        </w:rPr>
        <w:t xml:space="preserve">J Brantley Law, PLLC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2026-08-03T16:54:03.271Z</dcterms:created>
  <dcterms:modified xsi:type="dcterms:W3CDTF">2026-08-03T16:54:03.271Z</dcterms:modified>
</cp:coreProperties>
</file>

<file path=docProps/custom.xml><?xml version="1.0" encoding="utf-8"?>
<Properties xmlns="http://schemas.openxmlformats.org/officeDocument/2006/custom-properties" xmlns:vt="http://schemas.openxmlformats.org/officeDocument/2006/docPropsVTypes"/>
</file>