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Contract Review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is engaged to review, draft, or negotiate the contract(s) Client provides, at the service tier Client elects in Section 2. This engagement is limited to the specific contract(s) identified at intake and does not include ongoing contract management, litigation related to any contract dispute, or review of contracts beyond the number specified in the elected tier unless separately elected in writing.</w:t>
      </w:r>
    </w:p>
    <w:p>
      <w:pPr>
        <w:spacing w:after="100" w:before="200"/>
      </w:pPr>
      <w:r>
        <w:rPr>
          <w:rFonts w:ascii="Calibri" w:cs="Calibri" w:eastAsia="Calibri" w:hAnsi="Calibri"/>
          <w:b/>
          <w:bCs/>
          <w:color w:val="1F3050"/>
          <w:sz w:val="22"/>
          <w:szCs w:val="22"/>
        </w:rPr>
        <w:t xml:space="preserve">Section 2. Service Tier Election</w:t>
      </w:r>
    </w:p>
    <w:p>
      <w:pPr>
        <w:spacing w:after="140" w:line="276"/>
      </w:pPr>
      <w:r>
        <w:rPr>
          <w:rFonts w:ascii="Calibri" w:cs="Calibri" w:eastAsia="Calibri" w:hAnsi="Calibri"/>
          <w:sz w:val="21"/>
          <w:szCs w:val="21"/>
        </w:rPr>
        <w:t xml:space="preserve">Client elects one tier below (check one):</w:t>
      </w:r>
    </w:p>
    <w:p>
      <w:pPr>
        <w:spacing w:after="60" w:before="160"/>
      </w:pPr>
      <w:r>
        <w:rPr>
          <w:rFonts w:ascii="Calibri" w:cs="Calibri" w:eastAsia="Calibri" w:hAnsi="Calibri"/>
          <w:sz w:val="21"/>
          <w:szCs w:val="21"/>
        </w:rPr>
        <w:t xml:space="preserve">☐  </w:t>
      </w:r>
      <w:r>
        <w:rPr>
          <w:rFonts w:ascii="Calibri" w:cs="Calibri" w:eastAsia="Calibri" w:hAnsi="Calibri"/>
          <w:b/>
          <w:bCs/>
          <w:sz w:val="21"/>
          <w:szCs w:val="21"/>
        </w:rPr>
        <w:t xml:space="preserve">Review &amp; Advise — $500</w:t>
      </w:r>
    </w:p>
    <w:p>
      <w:pPr>
        <w:pStyle w:val="ListParagraph"/>
        <w:numPr>
          <w:ilvl w:val="0"/>
          <w:numId w:val="1"/>
        </w:numPr>
        <w:spacing w:after="60"/>
      </w:pPr>
      <w:r>
        <w:rPr>
          <w:rFonts w:ascii="Calibri" w:cs="Calibri" w:eastAsia="Calibri" w:hAnsi="Calibri"/>
          <w:sz w:val="21"/>
          <w:szCs w:val="21"/>
        </w:rPr>
        <w:t xml:space="preserve">Review of one contract (up to 15 pages)</w:t>
      </w:r>
    </w:p>
    <w:p>
      <w:pPr>
        <w:pStyle w:val="ListParagraph"/>
        <w:numPr>
          <w:ilvl w:val="0"/>
          <w:numId w:val="1"/>
        </w:numPr>
        <w:spacing w:after="60"/>
      </w:pPr>
      <w:r>
        <w:rPr>
          <w:rFonts w:ascii="Calibri" w:cs="Calibri" w:eastAsia="Calibri" w:hAnsi="Calibri"/>
          <w:sz w:val="21"/>
          <w:szCs w:val="21"/>
        </w:rPr>
        <w:t xml:space="preserve">Written risk summary</w:t>
      </w:r>
    </w:p>
    <w:p>
      <w:pPr>
        <w:pStyle w:val="ListParagraph"/>
        <w:numPr>
          <w:ilvl w:val="0"/>
          <w:numId w:val="1"/>
        </w:numPr>
        <w:spacing w:after="60"/>
      </w:pPr>
      <w:r>
        <w:rPr>
          <w:rFonts w:ascii="Calibri" w:cs="Calibri" w:eastAsia="Calibri" w:hAnsi="Calibri"/>
          <w:sz w:val="21"/>
          <w:szCs w:val="21"/>
        </w:rPr>
        <w:t xml:space="preserve">Plain-English risk flag memo</w:t>
      </w:r>
    </w:p>
    <w:p>
      <w:pPr>
        <w:pStyle w:val="ListParagraph"/>
        <w:numPr>
          <w:ilvl w:val="0"/>
          <w:numId w:val="1"/>
        </w:numPr>
        <w:spacing w:after="60"/>
      </w:pPr>
      <w:r>
        <w:rPr>
          <w:rFonts w:ascii="Calibri" w:cs="Calibri" w:eastAsia="Calibri" w:hAnsi="Calibri"/>
          <w:sz w:val="21"/>
          <w:szCs w:val="21"/>
        </w:rPr>
        <w:t xml:space="preserve">Up to 3 negotiation recommendations</w:t>
      </w:r>
    </w:p>
    <w:p>
      <w:pPr>
        <w:pStyle w:val="ListParagraph"/>
        <w:numPr>
          <w:ilvl w:val="0"/>
          <w:numId w:val="1"/>
        </w:numPr>
        <w:spacing w:after="60"/>
      </w:pPr>
      <w:r>
        <w:rPr>
          <w:rFonts w:ascii="Calibri" w:cs="Calibri" w:eastAsia="Calibri" w:hAnsi="Calibri"/>
          <w:sz w:val="21"/>
          <w:szCs w:val="21"/>
        </w:rPr>
        <w:t xml:space="preserve">30-minute debrief call</w:t>
      </w:r>
    </w:p>
    <w:p>
      <w:pPr>
        <w:pStyle w:val="ListParagraph"/>
        <w:numPr>
          <w:ilvl w:val="0"/>
          <w:numId w:val="1"/>
        </w:numPr>
        <w:spacing w:after="60"/>
      </w:pPr>
      <w:r>
        <w:rPr>
          <w:rFonts w:ascii="Calibri" w:cs="Calibri" w:eastAsia="Calibri" w:hAnsi="Calibri"/>
          <w:sz w:val="21"/>
          <w:szCs w:val="21"/>
        </w:rPr>
        <w:t xml:space="preserve">Does not include a redlined draft</w:t>
      </w:r>
    </w:p>
    <w:p>
      <w:pPr>
        <w:spacing w:after="60" w:before="160"/>
      </w:pPr>
      <w:r>
        <w:rPr>
          <w:rFonts w:ascii="Calibri" w:cs="Calibri" w:eastAsia="Calibri" w:hAnsi="Calibri"/>
          <w:sz w:val="21"/>
          <w:szCs w:val="21"/>
        </w:rPr>
        <w:t xml:space="preserve">☐  </w:t>
      </w:r>
      <w:r>
        <w:rPr>
          <w:rFonts w:ascii="Calibri" w:cs="Calibri" w:eastAsia="Calibri" w:hAnsi="Calibri"/>
          <w:b/>
          <w:bCs/>
          <w:sz w:val="21"/>
          <w:szCs w:val="21"/>
        </w:rPr>
        <w:t xml:space="preserve">Draft &amp; Deliver — $1,200</w:t>
      </w:r>
    </w:p>
    <w:p>
      <w:pPr>
        <w:pStyle w:val="ListParagraph"/>
        <w:numPr>
          <w:ilvl w:val="0"/>
          <w:numId w:val="1"/>
        </w:numPr>
        <w:spacing w:after="60"/>
      </w:pPr>
      <w:r>
        <w:rPr>
          <w:rFonts w:ascii="Calibri" w:cs="Calibri" w:eastAsia="Calibri" w:hAnsi="Calibri"/>
          <w:sz w:val="21"/>
          <w:szCs w:val="21"/>
        </w:rPr>
        <w:t xml:space="preserve">Custom drafting of one agreement</w:t>
      </w:r>
    </w:p>
    <w:p>
      <w:pPr>
        <w:pStyle w:val="ListParagraph"/>
        <w:numPr>
          <w:ilvl w:val="0"/>
          <w:numId w:val="1"/>
        </w:numPr>
        <w:spacing w:after="60"/>
      </w:pPr>
      <w:r>
        <w:rPr>
          <w:rFonts w:ascii="Calibri" w:cs="Calibri" w:eastAsia="Calibri" w:hAnsi="Calibri"/>
          <w:sz w:val="21"/>
          <w:szCs w:val="21"/>
        </w:rPr>
        <w:t xml:space="preserve">One round of revisions</w:t>
      </w:r>
    </w:p>
    <w:p>
      <w:pPr>
        <w:pStyle w:val="ListParagraph"/>
        <w:numPr>
          <w:ilvl w:val="0"/>
          <w:numId w:val="1"/>
        </w:numPr>
        <w:spacing w:after="60"/>
      </w:pPr>
      <w:r>
        <w:rPr>
          <w:rFonts w:ascii="Calibri" w:cs="Calibri" w:eastAsia="Calibri" w:hAnsi="Calibri"/>
          <w:sz w:val="21"/>
          <w:szCs w:val="21"/>
        </w:rPr>
        <w:t xml:space="preserve">Plain-English summary</w:t>
      </w:r>
    </w:p>
    <w:p>
      <w:pPr>
        <w:pStyle w:val="ListParagraph"/>
        <w:numPr>
          <w:ilvl w:val="0"/>
          <w:numId w:val="1"/>
        </w:numPr>
        <w:spacing w:after="60"/>
      </w:pPr>
      <w:r>
        <w:rPr>
          <w:rFonts w:ascii="Calibri" w:cs="Calibri" w:eastAsia="Calibri" w:hAnsi="Calibri"/>
          <w:sz w:val="21"/>
          <w:szCs w:val="21"/>
        </w:rPr>
        <w:t xml:space="preserve">45-minute review call</w:t>
      </w:r>
    </w:p>
    <w:p>
      <w:pPr>
        <w:spacing w:after="60" w:before="160"/>
      </w:pPr>
      <w:r>
        <w:rPr>
          <w:rFonts w:ascii="Calibri" w:cs="Calibri" w:eastAsia="Calibri" w:hAnsi="Calibri"/>
          <w:sz w:val="21"/>
          <w:szCs w:val="21"/>
        </w:rPr>
        <w:t xml:space="preserve">☐  </w:t>
      </w:r>
      <w:r>
        <w:rPr>
          <w:rFonts w:ascii="Calibri" w:cs="Calibri" w:eastAsia="Calibri" w:hAnsi="Calibri"/>
          <w:b/>
          <w:bCs/>
          <w:sz w:val="21"/>
          <w:szCs w:val="21"/>
        </w:rPr>
        <w:t xml:space="preserve">Contract Command — $2,000</w:t>
      </w:r>
    </w:p>
    <w:p>
      <w:pPr>
        <w:pStyle w:val="ListParagraph"/>
        <w:numPr>
          <w:ilvl w:val="0"/>
          <w:numId w:val="1"/>
        </w:numPr>
        <w:spacing w:after="60"/>
      </w:pPr>
      <w:r>
        <w:rPr>
          <w:rFonts w:ascii="Calibri" w:cs="Calibri" w:eastAsia="Calibri" w:hAnsi="Calibri"/>
          <w:sz w:val="21"/>
          <w:szCs w:val="21"/>
        </w:rPr>
        <w:t xml:space="preserve">Drafting or review of up to 3 agreements</w:t>
      </w:r>
    </w:p>
    <w:p>
      <w:pPr>
        <w:pStyle w:val="ListParagraph"/>
        <w:numPr>
          <w:ilvl w:val="0"/>
          <w:numId w:val="1"/>
        </w:numPr>
        <w:spacing w:after="60"/>
      </w:pPr>
      <w:r>
        <w:rPr>
          <w:rFonts w:ascii="Calibri" w:cs="Calibri" w:eastAsia="Calibri" w:hAnsi="Calibri"/>
          <w:sz w:val="21"/>
          <w:szCs w:val="21"/>
        </w:rPr>
        <w:t xml:space="preserve">Full redline of an opposing party's draft</w:t>
      </w:r>
    </w:p>
    <w:p>
      <w:pPr>
        <w:pStyle w:val="ListParagraph"/>
        <w:numPr>
          <w:ilvl w:val="0"/>
          <w:numId w:val="1"/>
        </w:numPr>
        <w:spacing w:after="60"/>
      </w:pPr>
      <w:r>
        <w:rPr>
          <w:rFonts w:ascii="Calibri" w:cs="Calibri" w:eastAsia="Calibri" w:hAnsi="Calibri"/>
          <w:sz w:val="21"/>
          <w:szCs w:val="21"/>
        </w:rPr>
        <w:t xml:space="preserve">Negotiation strategy memo</w:t>
      </w:r>
    </w:p>
    <w:p>
      <w:pPr>
        <w:pStyle w:val="ListParagraph"/>
        <w:numPr>
          <w:ilvl w:val="0"/>
          <w:numId w:val="1"/>
        </w:numPr>
        <w:spacing w:after="60"/>
      </w:pPr>
      <w:r>
        <w:rPr>
          <w:rFonts w:ascii="Calibri" w:cs="Calibri" w:eastAsia="Calibri" w:hAnsi="Calibri"/>
          <w:sz w:val="21"/>
          <w:szCs w:val="21"/>
        </w:rPr>
        <w:t xml:space="preserve">Two rounds of revisions</w:t>
      </w:r>
    </w:p>
    <w:p>
      <w:pPr>
        <w:pStyle w:val="ListParagraph"/>
        <w:numPr>
          <w:ilvl w:val="0"/>
          <w:numId w:val="1"/>
        </w:numPr>
        <w:spacing w:after="60"/>
      </w:pPr>
      <w:r>
        <w:rPr>
          <w:rFonts w:ascii="Calibri" w:cs="Calibri" w:eastAsia="Calibri" w:hAnsi="Calibri"/>
          <w:sz w:val="21"/>
          <w:szCs w:val="21"/>
        </w:rPr>
        <w:t xml:space="preserve">60-minute strategy call</w:t>
      </w:r>
    </w:p>
    <w:p>
      <w:pPr>
        <w:pStyle w:val="ListParagraph"/>
        <w:numPr>
          <w:ilvl w:val="0"/>
          <w:numId w:val="1"/>
        </w:numPr>
        <w:spacing w:after="60"/>
      </w:pPr>
      <w:r>
        <w:rPr>
          <w:rFonts w:ascii="Calibri" w:cs="Calibri" w:eastAsia="Calibri" w:hAnsi="Calibri"/>
          <w:sz w:val="21"/>
          <w:szCs w:val="21"/>
        </w:rPr>
        <w:t xml:space="preserve">30 days of email support</w:t>
      </w:r>
    </w:p>
    <w:p>
      <w:pPr>
        <w:spacing w:after="100" w:before="200"/>
      </w:pPr>
      <w:r>
        <w:rPr>
          <w:rFonts w:ascii="Calibri" w:cs="Calibri" w:eastAsia="Calibri" w:hAnsi="Calibri"/>
          <w:b/>
          <w:bCs/>
          <w:color w:val="1F3050"/>
          <w:sz w:val="22"/>
          <w:szCs w:val="22"/>
        </w:rPr>
        <w:t xml:space="preserve">Section 3. Fee and Payment</w:t>
      </w:r>
    </w:p>
    <w:p>
      <w:pPr>
        <w:spacing w:after="140" w:line="276"/>
      </w:pPr>
      <w:r>
        <w:rPr>
          <w:rFonts w:ascii="Calibri" w:cs="Calibri" w:eastAsia="Calibri" w:hAnsi="Calibri"/>
          <w:sz w:val="21"/>
          <w:szCs w:val="21"/>
        </w:rPr>
        <w:t xml:space="preserve">The total fee for the elected service is due in full at the time Client signs this Agreement, payable through the Firm's online payment portal. Advance fees are deposited into Attorney's IOLTA trust account and are released to Attorney's operating account only as earned under the milestones in the following section.</w:t>
      </w:r>
    </w:p>
    <w:p>
      <w:pPr>
        <w:spacing w:after="140" w:line="276"/>
      </w:pPr>
      <w:r>
        <w:rPr>
          <w:rFonts w:ascii="Calibri" w:cs="Calibri" w:eastAsia="Calibri" w:hAnsi="Calibri"/>
          <w:sz w:val="21"/>
          <w:szCs w:val="21"/>
        </w:rPr>
        <w:t xml:space="preserve">If Client wishes to pay in installments rather than in full at signing, Client may request an installment payment plan before signing. Any installment plan must be set up through Attorney's practice management system and requires a saved payment method on file. Amounts collected under an installment plan remain unearned advance fees held in trust until earned under the milestones in the following section, regardless of the collection schedule, and installment payments do not begin the engagement or reserve Attorney's services until the plan is approved and the first payment is processed.</w:t>
      </w:r>
    </w:p>
    <w:p>
      <w:pPr>
        <w:spacing w:after="140" w:line="276"/>
      </w:pPr>
      <w:r>
        <w:rPr>
          <w:rFonts w:ascii="Calibri" w:cs="Calibri" w:eastAsia="Calibri" w:hAnsi="Calibri"/>
          <w:sz w:val="21"/>
          <w:szCs w:val="21"/>
        </w:rPr>
        <w:t xml:space="preserve">Invoices for any out-of-scope work billed under this Agreement are due within 7 days of the invoice date. Client authorizes automatic billing of any card or payment method on file for amounts due under this Agreement. Where no card is on file, unpaid balances accrue a late fee of 1.5% per month (18% per annum maximum). Attorney reserves the right to suspend services for any account with an unpaid balance more than 30 days past due.</w:t>
      </w:r>
    </w:p>
    <w:p>
      <w:pPr>
        <w:spacing w:after="100" w:before="200"/>
      </w:pPr>
      <w:r>
        <w:rPr>
          <w:rFonts w:ascii="Calibri" w:cs="Calibri" w:eastAsia="Calibri" w:hAnsi="Calibri"/>
          <w:b/>
          <w:bCs/>
          <w:color w:val="1F3050"/>
          <w:sz w:val="22"/>
          <w:szCs w:val="22"/>
        </w:rPr>
        <w:t xml:space="preserve">Section 4. Fee Earning Milestones</w:t>
      </w:r>
    </w:p>
    <w:p>
      <w:pPr>
        <w:spacing w:after="140" w:line="276"/>
      </w:pPr>
      <w:r>
        <w:rPr>
          <w:rFonts w:ascii="Calibri" w:cs="Calibri" w:eastAsia="Calibri" w:hAnsi="Calibri"/>
          <w:sz w:val="21"/>
          <w:szCs w:val="21"/>
        </w:rPr>
        <w:t xml:space="preserve">The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Delivery of the initial review, redline, or draft</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Completion of the revision round(s) included in the elected tier</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40" w:line="276"/>
      </w:pPr>
      <w:r>
        <w:rPr>
          <w:rFonts w:ascii="Calibri" w:cs="Calibri" w:eastAsia="Calibri" w:hAnsi="Calibri"/>
          <w:i/>
          <w:iCs/>
          <w:color w:val="555555"/>
          <w:sz w:val="19"/>
          <w:szCs w:val="19"/>
        </w:rPr>
        <w:t xml:space="preserve">For the Review and Advise tier, which does not include a revision round, the entire fee is earned upon delivery of the risk summary and memo.</w:t>
      </w:r>
    </w:p>
    <w:p>
      <w:pPr>
        <w:spacing w:after="100" w:before="200"/>
      </w:pPr>
      <w:r>
        <w:rPr>
          <w:rFonts w:ascii="Calibri" w:cs="Calibri" w:eastAsia="Calibri" w:hAnsi="Calibri"/>
          <w:b/>
          <w:bCs/>
          <w:color w:val="1F3050"/>
          <w:sz w:val="22"/>
          <w:szCs w:val="22"/>
        </w:rPr>
        <w:t xml:space="preserve">Section 5.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that window, or revisions that exceed the scope of this engagement,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6.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perform the services described in this Agreement, and to respond to Attorney's requests in a timely manner. Delay in providing requested information may delay delivery of the deliverable and, where applicable, may extend USPTO or state filing timelines beyond Attorney's control.</w:t>
      </w:r>
    </w:p>
    <w:p>
      <w:pPr>
        <w:spacing w:after="100" w:before="200"/>
      </w:pPr>
      <w:r>
        <w:rPr>
          <w:rFonts w:ascii="Calibri" w:cs="Calibri" w:eastAsia="Calibri" w:hAnsi="Calibri"/>
          <w:b/>
          <w:bCs/>
          <w:color w:val="1F3050"/>
          <w:sz w:val="22"/>
          <w:szCs w:val="22"/>
        </w:rPr>
        <w:t xml:space="preserve">Section 7.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8.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w:t>
      </w:r>
    </w:p>
    <w:p>
      <w:pPr>
        <w:spacing w:after="100" w:before="200"/>
      </w:pPr>
      <w:r>
        <w:rPr>
          <w:rFonts w:ascii="Calibri" w:cs="Calibri" w:eastAsia="Calibri" w:hAnsi="Calibri"/>
          <w:b/>
          <w:bCs/>
          <w:color w:val="1F3050"/>
          <w:sz w:val="22"/>
          <w:szCs w:val="22"/>
        </w:rPr>
        <w:t xml:space="preserve">Section 9.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Any unearned trust deposit will be refunded to Client following termination.</w:t>
      </w:r>
    </w:p>
    <w:p>
      <w:pPr>
        <w:spacing w:after="100" w:before="200"/>
      </w:pPr>
      <w:r>
        <w:rPr>
          <w:rFonts w:ascii="Calibri" w:cs="Calibri" w:eastAsia="Calibri" w:hAnsi="Calibri"/>
          <w:b/>
          <w:bCs/>
          <w:color w:val="1F3050"/>
          <w:sz w:val="22"/>
          <w:szCs w:val="22"/>
        </w:rPr>
        <w:t xml:space="preserve">Section 10.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11.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12. Governing Law</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Client's state of residence and governing law for this engagement is Georgia</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Section 13.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elected service(s) and fee stated above, and authorizes the payment terms described in this Agreement.</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2026-08-03T16:54:03.433Z</dcterms:created>
  <dcterms:modified xsi:type="dcterms:W3CDTF">2026-08-03T16:54:03.433Z</dcterms:modified>
</cp:coreProperties>
</file>

<file path=docProps/custom.xml><?xml version="1.0" encoding="utf-8"?>
<Properties xmlns="http://schemas.openxmlformats.org/officeDocument/2006/custom-properties" xmlns:vt="http://schemas.openxmlformats.org/officeDocument/2006/docPropsVTypes"/>
</file>