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Search and Clear</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conduct a USPTO and common law clearance search for one mark, prepare a written clearance opinion assessing registrability and conflict risk, and provide a 15-minute strategy call to discuss the findings. This engagement does not include preparation or filing of a trademark application. If Client elects to proceed with filing after reviewing the clearance opinion, that work requires a separate engagement agreement at the File and Protect or Full Shield tier.</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Search and Clear tier is $350,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Advance fees are deposited into Attorney's IOLTA trust account and are released to Attorney's operating account only as earned under the milestone in the following section. As there is no guarantee of outcome for any trademark matter, earning of the fee is not conditioned upon the USPTO's approval of the application, publication, issuance of a notice of allowance, or issuance of a certificate of registration.</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earned under the milestone in the following section,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any response to a USPTO office action,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Fee Earning Milestones</w:t>
      </w:r>
    </w:p>
    <w:p>
      <w:pPr>
        <w:spacing w:after="140" w:line="276"/>
      </w:pPr>
      <w:r>
        <w:rPr>
          <w:rFonts w:ascii="Calibri" w:cs="Calibri" w:eastAsia="Calibri" w:hAnsi="Calibri"/>
          <w:sz w:val="21"/>
          <w:szCs w:val="21"/>
        </w:rPr>
        <w:t xml:space="preserve">The fee is earned by Attorney, and transferred from the Firm's IOLTA trust account to Attorney's operating account, according to the following milestone: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Delivery of the written clearance opinion to Client</w:t>
            </w:r>
          </w:p>
        </w:tc>
        <w:tc>
          <w:tcPr>
            <w:tcW w:type="dxa" w:w="3000"/>
            <w:shd w:fill="FAF7F0" w:val="clear"/>
          </w:tcPr>
          <w:p>
            <w:pPr>
              <w:jc w:val="center"/>
            </w:pPr>
            <w:r>
              <w:rPr>
                <w:rFonts w:ascii="Calibri" w:cs="Calibri" w:eastAsia="Calibri" w:hAnsi="Calibri"/>
                <w:b/>
                <w:bCs/>
                <w:color w:val="1F3050"/>
                <w:sz w:val="20"/>
                <w:szCs w:val="20"/>
              </w:rPr>
              <w:t xml:space="preserve">100%</w:t>
            </w:r>
          </w:p>
        </w:tc>
      </w:tr>
    </w:tbl>
    <w:p>
      <w:pPr>
        <w:spacing w:after="100" w:before="200"/>
      </w:pPr>
      <w:r>
        <w:rPr>
          <w:rFonts w:ascii="Calibri" w:cs="Calibri" w:eastAsia="Calibri" w:hAnsi="Calibri"/>
          <w:b/>
          <w:bCs/>
          <w:color w:val="1F3050"/>
          <w:sz w:val="22"/>
          <w:szCs w:val="22"/>
        </w:rPr>
        <w:t xml:space="preserve">Section 5.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40" w:line="276"/>
      </w:pPr>
      <w:r>
        <w:rPr>
          <w:rFonts w:ascii="Calibri" w:cs="Calibri" w:eastAsia="Calibri" w:hAnsi="Calibri"/>
          <w:i/>
          <w:iCs/>
          <w:color w:val="555555"/>
          <w:sz w:val="19"/>
          <w:szCs w:val="19"/>
        </w:rPr>
        <w:t xml:space="preserve">This engagement does not include filing. The timeline above is provided for informational purposes, describing what would follow if Client later elects to proceed with a filing engagement (File and Protect or Full Shield) based on the results of the clearance search.</w:t>
      </w:r>
    </w:p>
    <w:p>
      <w:pPr>
        <w:spacing w:after="100" w:before="200"/>
      </w:pPr>
      <w:r>
        <w:rPr>
          <w:rFonts w:ascii="Calibri" w:cs="Calibri" w:eastAsia="Calibri" w:hAnsi="Calibri"/>
          <w:b/>
          <w:bCs/>
          <w:color w:val="1F3050"/>
          <w:sz w:val="22"/>
          <w:szCs w:val="22"/>
        </w:rPr>
        <w:t xml:space="preserve">Section 6.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7.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8.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9.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10.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11.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12.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13.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14.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2026-08-03T16:54:03.590Z</dcterms:created>
  <dcterms:modified xsi:type="dcterms:W3CDTF">2026-08-03T16:54:03.590Z</dcterms:modified>
</cp:coreProperties>
</file>

<file path=docProps/custom.xml><?xml version="1.0" encoding="utf-8"?>
<Properties xmlns="http://schemas.openxmlformats.org/officeDocument/2006/custom-properties" xmlns:vt="http://schemas.openxmlformats.org/officeDocument/2006/docPropsVTypes"/>
</file>