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Adult Name Change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handle a simple, uncontested adult name change matter for Client in the state Client elects below, including preparation of a Petition for Change of Name, a Proposed Order Granting Name Change, filing of the petition with the court, and either attendance at the prove-up hearing or arranging a waiver of the hearing where the court permits, along with a post-order agency notification checklist covering common agencies such as the Social Security Administration, the state driver's license or ID authority, and the U.S. passport office. Court filing fees, fingerprinting fees, and any publication costs are separate government or vendor costs and are Client's responsibility, not included in the attorney fee below.</w:t>
      </w:r>
    </w:p>
    <w:p>
      <w:pPr>
        <w:spacing w:after="140" w:line="276"/>
      </w:pPr>
      <w:r>
        <w:rPr>
          <w:rFonts w:ascii="Calibri" w:cs="Calibri" w:eastAsia="Calibri" w:hAnsi="Calibri"/>
          <w:i/>
          <w:iCs/>
          <w:color w:val="555555"/>
          <w:sz w:val="19"/>
          <w:szCs w:val="19"/>
        </w:rPr>
        <w:t xml:space="preserve">The flat fee stated in Section 3 covers a simple, uncontested matter only, with no criminal history complications. If Attorney determines, at intake or at any point during the engagement, that Client's matter is contested or involves criminal history complications requiring additional work, Attorney will notify Client and issue an invoice for the difference between the flat fee already paid and the applicable complex-matter fee, which ranges from $1,200 to $2,000 depending on the scope of the additional work required.</w:t>
      </w:r>
    </w:p>
    <w:p>
      <w:pPr>
        <w:spacing w:after="140" w:line="276"/>
      </w:pPr>
      <w:r>
        <w:rPr>
          <w:rFonts w:ascii="Calibri" w:cs="Calibri" w:eastAsia="Calibri" w:hAnsi="Calibri"/>
          <w:i/>
          <w:iCs/>
          <w:color w:val="555555"/>
          <w:sz w:val="19"/>
          <w:szCs w:val="19"/>
        </w:rPr>
        <w:t xml:space="preserve">If Client's matter is filed in Georgia, publication of the petition is required by statute, and Attorney will provide guidance on satisfying that requirement. Texas generally does not require publication for an adult name change petition, though the court may impose additional requirements at its discretion.</w:t>
      </w:r>
    </w:p>
    <w:p>
      <w:pPr>
        <w:spacing w:after="100" w:before="200"/>
      </w:pPr>
      <w:r>
        <w:rPr>
          <w:rFonts w:ascii="Calibri" w:cs="Calibri" w:eastAsia="Calibri" w:hAnsi="Calibri"/>
          <w:b/>
          <w:bCs/>
          <w:color w:val="1F3050"/>
          <w:sz w:val="22"/>
          <w:szCs w:val="22"/>
        </w:rPr>
        <w:t xml:space="preserve">Section 2. Jurisdiction Election</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Client's name change petition will be filed in Georgia</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Client's name change petition will be filed in Texas</w:t>
      </w:r>
    </w:p>
    <w:p>
      <w:pPr>
        <w:spacing w:after="100" w:before="200"/>
      </w:pPr>
      <w:r>
        <w:rPr>
          <w:rFonts w:ascii="Calibri" w:cs="Calibri" w:eastAsia="Calibri" w:hAnsi="Calibri"/>
          <w:b/>
          <w:bCs/>
          <w:color w:val="1F3050"/>
          <w:sz w:val="22"/>
          <w:szCs w:val="22"/>
        </w:rPr>
        <w:t xml:space="preserve">Section 3. Fee and Payment</w:t>
      </w:r>
    </w:p>
    <w:p>
      <w:pPr>
        <w:spacing w:after="140" w:line="276"/>
      </w:pPr>
      <w:r>
        <w:rPr>
          <w:rFonts w:ascii="Calibri" w:cs="Calibri" w:eastAsia="Calibri" w:hAnsi="Calibri"/>
          <w:sz w:val="21"/>
          <w:szCs w:val="21"/>
        </w:rPr>
        <w:t xml:space="preserve">The flat fee for a simple, uncontested matter is $1,000. The total fee is due in full at the time Client signs this Agreement, payable through the Firm's online payment portal. Advance fees are deposited into Attorney's IOLTA trust account and are released to Attorney's operating account only as earned under the milestones in the following section. As there is no guarantee of outcome for this service, earning of the fee is not conditioned upon the court granting the requested name change.</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earned under the milestones in the following section,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the complex-matter fee difference described in Section 1, and for any other out-of-scope work billed under this Agreement,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4. Fee Earning Milestones</w:t>
      </w:r>
    </w:p>
    <w:p>
      <w:pPr>
        <w:spacing w:after="140" w:line="276"/>
      </w:pPr>
      <w:r>
        <w:rPr>
          <w:rFonts w:ascii="Calibri" w:cs="Calibri" w:eastAsia="Calibri" w:hAnsi="Calibri"/>
          <w:sz w:val="21"/>
          <w:szCs w:val="21"/>
        </w:rPr>
        <w:t xml:space="preserve">The fee is earned by Attorney, and transferred from the Firm's IOLTA trust account to Attorney's operating account, according to the following milestones: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Milestone</w:t>
            </w:r>
          </w:p>
        </w:tc>
        <w:tc>
          <w:tcPr>
            <w:tcW w:type="dxa" w:w="3000"/>
            <w:shd w:fill="1F3050" w:val="clear"/>
          </w:tcPr>
          <w:p>
            <w:pPr>
              <w:jc w:val="center"/>
            </w:pPr>
            <w:r>
              <w:rPr>
                <w:rFonts w:ascii="Calibri" w:cs="Calibri" w:eastAsia="Calibri" w:hAnsi="Calibri"/>
                <w:b/>
                <w:bCs/>
                <w:color w:val="FFFFFF"/>
                <w:sz w:val="20"/>
                <w:szCs w:val="20"/>
              </w:rPr>
              <w:t xml:space="preserve">Portion Earned</w:t>
            </w:r>
          </w:p>
        </w:tc>
      </w:tr>
      <w:tr>
        <w:tc>
          <w:tcPr>
            <w:tcW w:type="dxa" w:w="6350"/>
            <w:shd w:fill="FAF7F0" w:val="clear"/>
          </w:tcPr>
          <w:p>
            <w:r>
              <w:rPr>
                <w:rFonts w:ascii="Calibri" w:cs="Calibri" w:eastAsia="Calibri" w:hAnsi="Calibri"/>
                <w:sz w:val="20"/>
                <w:szCs w:val="20"/>
              </w:rPr>
              <w:t xml:space="preserve">Filing of the petition with the court</w:t>
            </w:r>
          </w:p>
        </w:tc>
        <w:tc>
          <w:tcPr>
            <w:tcW w:type="dxa" w:w="3000"/>
            <w:shd w:fill="FAF7F0" w:val="clear"/>
          </w:tcPr>
          <w:p>
            <w:pPr>
              <w:jc w:val="center"/>
            </w:pPr>
            <w:r>
              <w:rPr>
                <w:rFonts w:ascii="Calibri" w:cs="Calibri" w:eastAsia="Calibri" w:hAnsi="Calibri"/>
                <w:b/>
                <w:bCs/>
                <w:color w:val="1F3050"/>
                <w:sz w:val="20"/>
                <w:szCs w:val="20"/>
              </w:rPr>
              <w:t xml:space="preserve">50%</w:t>
            </w:r>
          </w:p>
        </w:tc>
      </w:tr>
      <w:tr>
        <w:tc>
          <w:tcPr>
            <w:tcW w:type="dxa" w:w="6350"/>
            <w:shd w:fill="FFFFFF" w:val="clear"/>
          </w:tcPr>
          <w:p>
            <w:r>
              <w:rPr>
                <w:rFonts w:ascii="Calibri" w:cs="Calibri" w:eastAsia="Calibri" w:hAnsi="Calibri"/>
                <w:sz w:val="20"/>
                <w:szCs w:val="20"/>
              </w:rPr>
              <w:t xml:space="preserve">Completion of the hearing or entry of a waiver of the hearing</w:t>
            </w:r>
          </w:p>
        </w:tc>
        <w:tc>
          <w:tcPr>
            <w:tcW w:type="dxa" w:w="3000"/>
            <w:shd w:fill="FFFFFF" w:val="clear"/>
          </w:tcPr>
          <w:p>
            <w:pPr>
              <w:jc w:val="center"/>
            </w:pPr>
            <w:r>
              <w:rPr>
                <w:rFonts w:ascii="Calibri" w:cs="Calibri" w:eastAsia="Calibri" w:hAnsi="Calibri"/>
                <w:b/>
                <w:bCs/>
                <w:color w:val="1F3050"/>
                <w:sz w:val="20"/>
                <w:szCs w:val="20"/>
              </w:rPr>
              <w:t xml:space="preserve">50%</w:t>
            </w:r>
          </w:p>
        </w:tc>
      </w:tr>
    </w:tbl>
    <w:p>
      <w:pPr>
        <w:spacing w:after="100" w:before="200"/>
      </w:pPr>
      <w:r>
        <w:rPr>
          <w:rFonts w:ascii="Calibri" w:cs="Calibri" w:eastAsia="Calibri" w:hAnsi="Calibri"/>
          <w:b/>
          <w:bCs/>
          <w:color w:val="1F3050"/>
          <w:sz w:val="22"/>
          <w:szCs w:val="22"/>
        </w:rPr>
        <w:t xml:space="preserve">Section 5.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6.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7.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8.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9.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10.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11.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12. Governing Law</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Client's state of residence and governing law for this engagement is Georgia</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Section 13.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2026-08-03T16:54:03.568Z</dcterms:created>
  <dcterms:modified xsi:type="dcterms:W3CDTF">2026-08-03T16:54:03.568Z</dcterms:modified>
</cp:coreProperties>
</file>

<file path=docProps/custom.xml><?xml version="1.0" encoding="utf-8"?>
<Properties xmlns="http://schemas.openxmlformats.org/officeDocument/2006/custom-properties" xmlns:vt="http://schemas.openxmlformats.org/officeDocument/2006/docPropsVTypes"/>
</file>