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an Enhanced Life Estate Deed (commonly known as a Ladybird Deed) conveying one parcel of Texas real property, reserving to Client a life estate with the power to sell, convey, mortgage, or otherwise dispose of the property during Client's lifetime without the consent of the remainder beneficiary. This engagement does not include a title search or title opinion unless separately elected in writing.</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Ladybird Deed (Enhanced Life Estate Deed) - one parcel of Texas real property</w:t>
            </w:r>
          </w:p>
        </w:tc>
        <w:tc>
          <w:tcPr>
            <w:tcW w:type="dxa" w:w="3000"/>
            <w:shd w:fill="FAF7F0" w:val="clear"/>
          </w:tcPr>
          <w:p>
            <w:pPr>
              <w:jc w:val="center"/>
            </w:pPr>
            <w:r>
              <w:rPr>
                <w:rFonts w:ascii="Calibri" w:cs="Calibri" w:eastAsia="Calibri" w:hAnsi="Calibri"/>
                <w:b/>
                <w:bCs/>
                <w:color w:val="1F3050"/>
                <w:sz w:val="20"/>
                <w:szCs w:val="20"/>
              </w:rPr>
              <w:t xml:space="preserve">$750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released to Attorney's operating account only as earned under the milestones in Section 3 below,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Fee Earning Milestones</w:t>
      </w:r>
    </w:p>
    <w:p>
      <w:pPr>
        <w:spacing w:after="140" w:line="276"/>
      </w:pPr>
      <w:r>
        <w:rPr>
          <w:rFonts w:ascii="Calibri" w:cs="Calibri" w:eastAsia="Calibri" w:hAnsi="Calibri"/>
          <w:sz w:val="21"/>
          <w:szCs w:val="21"/>
        </w:rPr>
        <w:t xml:space="preserve">The flat fee is earned by Attorney, and transferred from the Firm's IOLTA trust account to Attorney's operating account, according to the following milestones: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Milestone</w:t>
            </w:r>
          </w:p>
        </w:tc>
        <w:tc>
          <w:tcPr>
            <w:tcW w:type="dxa" w:w="3000"/>
            <w:shd w:fill="1F3050" w:val="clear"/>
          </w:tcPr>
          <w:p>
            <w:pPr>
              <w:jc w:val="center"/>
            </w:pPr>
            <w:r>
              <w:rPr>
                <w:rFonts w:ascii="Calibri" w:cs="Calibri" w:eastAsia="Calibri" w:hAnsi="Calibri"/>
                <w:b/>
                <w:bCs/>
                <w:color w:val="FFFFFF"/>
                <w:sz w:val="20"/>
                <w:szCs w:val="20"/>
              </w:rPr>
              <w:t xml:space="preserve">Portion Earned</w:t>
            </w:r>
          </w:p>
        </w:tc>
      </w:tr>
      <w:tr>
        <w:tc>
          <w:tcPr>
            <w:tcW w:type="dxa" w:w="6350"/>
            <w:shd w:fill="FAF7F0" w:val="clear"/>
          </w:tcPr>
          <w:p>
            <w:r>
              <w:rPr>
                <w:rFonts w:ascii="Calibri" w:cs="Calibri" w:eastAsia="Calibri" w:hAnsi="Calibri"/>
                <w:sz w:val="20"/>
                <w:szCs w:val="20"/>
              </w:rPr>
              <w:t xml:space="preserve">Delivery of the initial draft document(s) to Client for review</w:t>
            </w:r>
          </w:p>
        </w:tc>
        <w:tc>
          <w:tcPr>
            <w:tcW w:type="dxa" w:w="3000"/>
            <w:shd w:fill="FAF7F0" w:val="clear"/>
          </w:tcPr>
          <w:p>
            <w:pPr>
              <w:jc w:val="center"/>
            </w:pPr>
            <w:r>
              <w:rPr>
                <w:rFonts w:ascii="Calibri" w:cs="Calibri" w:eastAsia="Calibri" w:hAnsi="Calibri"/>
                <w:b/>
                <w:bCs/>
                <w:color w:val="1F3050"/>
                <w:sz w:val="20"/>
                <w:szCs w:val="20"/>
              </w:rPr>
              <w:t xml:space="preserve">50%</w:t>
            </w:r>
          </w:p>
        </w:tc>
      </w:tr>
      <w:tr>
        <w:tc>
          <w:tcPr>
            <w:tcW w:type="dxa" w:w="6350"/>
            <w:shd w:fill="FFFFFF" w:val="clear"/>
          </w:tcPr>
          <w:p>
            <w:r>
              <w:rPr>
                <w:rFonts w:ascii="Calibri" w:cs="Calibri" w:eastAsia="Calibri" w:hAnsi="Calibri"/>
                <w:sz w:val="20"/>
                <w:szCs w:val="20"/>
              </w:rPr>
              <w:t xml:space="preserve">Delivery of the final, execution-ready document(s) to Client</w:t>
            </w:r>
          </w:p>
        </w:tc>
        <w:tc>
          <w:tcPr>
            <w:tcW w:type="dxa" w:w="3000"/>
            <w:shd w:fill="FFFFFF" w:val="clear"/>
          </w:tcPr>
          <w:p>
            <w:pPr>
              <w:jc w:val="center"/>
            </w:pPr>
            <w:r>
              <w:rPr>
                <w:rFonts w:ascii="Calibri" w:cs="Calibri" w:eastAsia="Calibri" w:hAnsi="Calibri"/>
                <w:b/>
                <w:bCs/>
                <w:color w:val="1F3050"/>
                <w:sz w:val="20"/>
                <w:szCs w:val="20"/>
              </w:rPr>
              <w:t xml:space="preserve">50%</w:t>
            </w:r>
          </w:p>
        </w:tc>
      </w:tr>
    </w:tbl>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40" w:line="276"/>
      </w:pPr>
      <w:r>
        <w:rPr>
          <w:rFonts w:ascii="Calibri" w:cs="Calibri" w:eastAsia="Calibri" w:hAnsi="Calibri"/>
          <w:sz w:val="21"/>
          <w:szCs w:val="21"/>
        </w:rPr>
        <w:t xml:space="preserve">This engagement covers real property located in the State of Texas only. Attorney does not prepare this instrument for real property located in Georgia, as Georgia law does not recognize or authorize this form of conveyance.</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2026-08-03T16:52:11.795Z</dcterms:created>
  <dcterms:modified xsi:type="dcterms:W3CDTF">2026-08-03T16:52:11.795Z</dcterms:modified>
</cp:coreProperties>
</file>

<file path=docProps/custom.xml><?xml version="1.0" encoding="utf-8"?>
<Properties xmlns="http://schemas.openxmlformats.org/officeDocument/2006/custom-properties" xmlns:vt="http://schemas.openxmlformats.org/officeDocument/2006/docPropsVTypes"/>
</file>