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Copyright Registration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This is a done-with-you copyright registration service. Client submits the work to be registered through the Firm's secure client portal, and Attorney will prepare and file a federal copyright application for that work with the U.S. Copyright Office, respond to Client's questions during the process, and deliver the registration certificate to Client once it is issued.</w:t>
      </w:r>
    </w:p>
    <w:p>
      <w:pPr>
        <w:spacing w:after="140" w:line="276"/>
      </w:pPr>
      <w:r>
        <w:rPr>
          <w:rFonts w:ascii="Calibri" w:cs="Calibri" w:eastAsia="Calibri" w:hAnsi="Calibri"/>
          <w:sz w:val="21"/>
          <w:szCs w:val="21"/>
        </w:rPr>
        <w:t xml:space="preserve">The flat fee stated in Section 2 applies only to a standard, single-author, single-work application, meaning one work created and owned solely by one individual author, not made for hire, with no co-authors or additional claimants. This engagement covers one work only; a separate signed engagement agreement and separate fee are required for each additional work.</w:t>
      </w:r>
    </w:p>
    <w:p>
      <w:pPr>
        <w:spacing w:after="140" w:line="276"/>
      </w:pPr>
      <w:r>
        <w:rPr>
          <w:rFonts w:ascii="Calibri" w:cs="Calibri" w:eastAsia="Calibri" w:hAnsi="Calibri"/>
          <w:i/>
          <w:iCs/>
          <w:color w:val="555555"/>
          <w:sz w:val="19"/>
          <w:szCs w:val="19"/>
        </w:rPr>
        <w:t xml:space="preserve">Works that do not fit the single-author, single-work category, including works made for hire, works with multiple authors or claimants, joint works, group registrations, published photograph collections, serials, or any other non-standard filing, are not covered by this Agreement or the flat fee stated below. Those matters require a consultation and a separate written fee quote before Attorney will undertake the work.</w:t>
      </w:r>
    </w:p>
    <w:p>
      <w:pPr>
        <w:spacing w:after="100" w:before="200"/>
      </w:pPr>
      <w:r>
        <w:rPr>
          <w:rFonts w:ascii="Calibri" w:cs="Calibri" w:eastAsia="Calibri" w:hAnsi="Calibri"/>
          <w:b/>
          <w:bCs/>
          <w:color w:val="1F3050"/>
          <w:sz w:val="22"/>
          <w:szCs w:val="22"/>
        </w:rPr>
        <w:t xml:space="preserve">Section 2. Fee and Payment</w:t>
      </w:r>
    </w:p>
    <w:p>
      <w:pPr>
        <w:spacing w:after="140" w:line="276"/>
      </w:pPr>
      <w:r>
        <w:rPr>
          <w:rFonts w:ascii="Calibri" w:cs="Calibri" w:eastAsia="Calibri" w:hAnsi="Calibri"/>
          <w:sz w:val="21"/>
          <w:szCs w:val="21"/>
        </w:rPr>
        <w:t xml:space="preserve">The flat fee for a standard single-author, single-work copyright registration is $350. This fee does not include the U.S. Copyright Office's filing fee, currently $45 for a Single Application, which is a separate government cost paid directly to the U.S. Copyright Office and is entirely separate from and not included in the attorney fee. The Copyright Office has proposed increasing its fee schedule and eliminating the Single Application category; Client is responsible for the government fee in effect at the time of filing, whatever that amount may be.</w:t>
      </w:r>
    </w:p>
    <w:p>
      <w:pPr>
        <w:spacing w:after="140" w:line="276"/>
      </w:pPr>
      <w:r>
        <w:rPr>
          <w:rFonts w:ascii="Calibri" w:cs="Calibri" w:eastAsia="Calibri" w:hAnsi="Calibri"/>
          <w:sz w:val="21"/>
          <w:szCs w:val="21"/>
        </w:rPr>
        <w:t xml:space="preserve">The total attorney fee is due in full at the time Client signs this Agreement, payable through the Firm's online payment portal. Advance fees are deposited into Attorney's IOLTA trust account and are not earned by Attorney until the application is filed with the U.S. Copyright Office, consistent with Attorney's standard trust accounting practice.</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the application is filed,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including work on a submission that turns out not to qualify as a standard single-author, single-work application,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3.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4.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5.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6.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7.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8.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9.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10. Governing Law</w:t>
      </w:r>
    </w:p>
    <w:p>
      <w:pPr>
        <w:spacing w:after="60" w:before="100"/>
      </w:pPr>
      <w:r>
        <w:rPr>
          <w:rFonts w:ascii="Calibri" w:cs="Calibri" w:eastAsia="Calibri" w:hAnsi="Calibri"/>
          <w:sz w:val="21"/>
          <w:szCs w:val="21"/>
        </w:rPr>
        <w:t xml:space="preserve">This Agreement, and the underlying engagement, are governed by the laws of the State of Texas, without regard to conflict of law principles. Copyright registration itself is governed exclusively by federal law, including the Copyright Act, and by the rules and regulations of the United States Copyright Office. Because this is a federal matter, Client may reside in any state, and this engagement is not limited to residents of Texas or Georgia.</w:t>
      </w:r>
    </w:p>
    <w:p>
      <w:pPr>
        <w:spacing w:after="100" w:before="200"/>
      </w:pPr>
      <w:r>
        <w:rPr>
          <w:rFonts w:ascii="Calibri" w:cs="Calibri" w:eastAsia="Calibri" w:hAnsi="Calibri"/>
          <w:b/>
          <w:bCs/>
          <w:color w:val="1F3050"/>
          <w:sz w:val="22"/>
          <w:szCs w:val="22"/>
        </w:rPr>
        <w:t xml:space="preserve">Section 11.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2026-08-02T16:57:56.411Z</dcterms:created>
  <dcterms:modified xsi:type="dcterms:W3CDTF">2026-08-02T16:57:56.411Z</dcterms:modified>
</cp:coreProperties>
</file>

<file path=docProps/custom.xml><?xml version="1.0" encoding="utf-8"?>
<Properties xmlns="http://schemas.openxmlformats.org/officeDocument/2006/custom-properties" xmlns:vt="http://schemas.openxmlformats.org/officeDocument/2006/docPropsVTypes"/>
</file>