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spacing w:after="120" w:before="280"/>
      </w:pPr>
      <w:r>
        <w:rPr>
          <w:rFonts w:ascii="Georgia" w:cs="Georgia" w:eastAsia="Georgia" w:hAnsi="Georgia"/>
          <w:b/>
          <w:bCs/>
          <w:color w:val="1F3050"/>
          <w:sz w:val="24"/>
          <w:szCs w:val="24"/>
        </w:rPr>
        <w:t xml:space="preserve">Trademark Engagement Agreement — Knockout Search</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40" w:line="276"/>
      </w:pPr>
      <w:r>
        <w:rPr>
          <w:rFonts w:ascii="Calibri" w:cs="Calibri" w:eastAsia="Calibri" w:hAnsi="Calibri"/>
          <w:sz w:val="21"/>
          <w:szCs w:val="21"/>
        </w:rPr>
        <w:t xml:space="preserve">Thank you for choosing J Brantley Law, PLLC for representation in the matters described below. This letter sets forth the terms of engagement between the Firm and Client, in their individual capacity or as the Authorized Representative for the Company identified above ("Client"), regarding trademark registration services for {{answers.mark_name}} (the "Proposed Mark"). This proposal expires seven (7) business days from the date of issuance.</w:t>
      </w:r>
    </w:p>
    <w:p>
      <w:pPr>
        <w:spacing w:after="100" w:before="200"/>
      </w:pPr>
      <w:r>
        <w:rPr>
          <w:rFonts w:ascii="Calibri" w:cs="Calibri" w:eastAsia="Calibri" w:hAnsi="Calibri"/>
          <w:b/>
          <w:bCs/>
          <w:color w:val="1F3050"/>
          <w:sz w:val="22"/>
          <w:szCs w:val="22"/>
        </w:rPr>
        <w:t xml:space="preserve">Section 1. Scope of Representation</w:t>
      </w:r>
    </w:p>
    <w:p>
      <w:pPr>
        <w:spacing w:after="140" w:line="276"/>
      </w:pPr>
      <w:r>
        <w:rPr>
          <w:rFonts w:ascii="Calibri" w:cs="Calibri" w:eastAsia="Calibri" w:hAnsi="Calibri"/>
          <w:sz w:val="21"/>
          <w:szCs w:val="21"/>
        </w:rPr>
        <w:t xml:space="preserve">This engagement is limited to the services elected below. No other services are included in this engagement unless set forth in a separate written agreement signed by Attorney and Client.</w:t>
      </w:r>
    </w:p>
    <w:p>
      <w:pPr>
        <w:spacing w:after="140" w:line="276"/>
      </w:pPr>
      <w:r>
        <w:rPr>
          <w:rFonts w:ascii="Calibri" w:cs="Calibri" w:eastAsia="Calibri" w:hAnsi="Calibri"/>
          <w:sz w:val="21"/>
          <w:szCs w:val="21"/>
        </w:rPr>
        <w:t xml:space="preserve">The following are outside the scope of this engagement unless separately elected in writing: application tiers or classes not elected in this agreement, trademark litigation, opposition, or cancellation proceedings; patent prosecution, including design patents; copyright registration; state trademark filings; international or Madrid Protocol filings; and any matter not expressly described and elected in Section 2, below.</w:t>
      </w:r>
    </w:p>
    <w:p>
      <w:pPr>
        <w:spacing w:after="140" w:line="276"/>
      </w:pPr>
      <w:r>
        <w:rPr>
          <w:rFonts w:ascii="Calibri" w:cs="Calibri" w:eastAsia="Calibri" w:hAnsi="Calibri"/>
          <w:sz w:val="21"/>
          <w:szCs w:val="21"/>
        </w:rPr>
        <w:t xml:space="preserve">Client’s driver’s license number and state of issuance, provided in connection with the authorization granted below in the Authority / Power of Attorney section of this Agreement: {{answers.drivers_license}}.</w:t>
      </w:r>
    </w:p>
    <w:p>
      <w:pPr>
        <w:spacing w:after="100" w:before="200"/>
      </w:pPr>
      <w:r>
        <w:rPr>
          <w:rFonts w:ascii="Calibri" w:cs="Calibri" w:eastAsia="Calibri" w:hAnsi="Calibri"/>
          <w:b/>
          <w:bCs/>
          <w:color w:val="1F3050"/>
          <w:sz w:val="22"/>
          <w:szCs w:val="22"/>
        </w:rPr>
        <w:t xml:space="preserve">Section 2. Trademark Services and Fee Election</w:t>
      </w:r>
    </w:p>
    <w:p>
      <w:pPr>
        <w:spacing w:after="140" w:line="276"/>
      </w:pPr>
      <w:r>
        <w:rPr>
          <w:rFonts w:ascii="Calibri" w:cs="Calibri" w:eastAsia="Calibri" w:hAnsi="Calibri"/>
          <w:sz w:val="21"/>
          <w:szCs w:val="21"/>
        </w:rPr>
        <w:t xml:space="preserve">Client may elect one of the following services for the Proposed Mark. The fees displayed reflect attorney fees for one (1) mark in one (1) class unless otherwise stated. USPTO government fees are separate.</w:t>
      </w:r>
    </w:p>
    <w:p>
      <w:pPr>
        <w:spacing w:after="140" w:line="276"/>
      </w:pPr>
      <w:r>
        <w:rPr>
          <w:rFonts w:ascii="Calibri" w:cs="Calibri" w:eastAsia="Calibri" w:hAnsi="Calibri"/>
          <w:sz w:val="21"/>
          <w:szCs w:val="21"/>
        </w:rPr>
        <w:t xml:space="preserve">Knockout Search: A quick scan of the official USPTO database and a brief risk assessment. Choose this or Search and Clear, not both. This option does not include preparation or filing of a federal trademark application. Client cannot upgrade if this search is selected. Attorney fee: $350.00.</w:t>
      </w:r>
    </w:p>
    <w:p>
      <w:pPr>
        <w:spacing w:after="100" w:before="200"/>
      </w:pPr>
      <w:r>
        <w:rPr>
          <w:rFonts w:ascii="Calibri" w:cs="Calibri" w:eastAsia="Calibri" w:hAnsi="Calibri"/>
          <w:b/>
          <w:bCs/>
          <w:color w:val="1F3050"/>
          <w:sz w:val="22"/>
          <w:szCs w:val="22"/>
        </w:rPr>
        <w:t xml:space="preserve">Section 3. Additional and Post-Filing Services</w:t>
      </w:r>
    </w:p>
    <w:p>
      <w:pPr>
        <w:spacing w:after="140" w:line="276"/>
      </w:pPr>
      <w:r>
        <w:rPr>
          <w:rFonts w:ascii="Calibri" w:cs="Calibri" w:eastAsia="Calibri" w:hAnsi="Calibri"/>
          <w:sz w:val="21"/>
          <w:szCs w:val="21"/>
        </w:rPr>
        <w:t xml:space="preserve">The following services are outside the elected tier unless separately elected in writing.</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Non-substantive / procedural Office Action response: $500.00 per response.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Substantive Office Action response: starting at $850.00, quoted based on complexity. A substantive response may exceed this starting fee where the refusal involves multiple cited registrations, extensive legal research, significant evidentiary development, a final refusal, or unusual complexity.</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Final, complex, or unusually research-intensive Office Action: separate written quote / engagement.</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Statement of Use: separately quoted when required, plus the applicable USPTO fee.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Extension Request for an intent-to-use application: separately quoted when required, plus the applicable USPTO fee.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Amendment to an existing pro se filing: $850.00 per amendment, subject to file review.</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Additional class in the same application: $400.00 per class plus the applicable USPTO fee; complex multiclass matters may be separately quoted.</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Trademark cease-and-desist letter or response: $950.00 per letter; negotiations excluded unless separately engaged.</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Rush service, when accepted by Attorney: $500.00.</w:t>
      </w:r>
    </w:p>
    <w:p>
      <w:pPr>
        <w:spacing w:after="140" w:line="276"/>
      </w:pPr>
      <w:r>
        <w:rPr>
          <w:rFonts w:ascii="Calibri" w:cs="Calibri" w:eastAsia="Calibri" w:hAnsi="Calibri"/>
          <w:sz w:val="21"/>
          <w:szCs w:val="21"/>
        </w:rPr>
        <w:t xml:space="preserve">Office Action classifications are determined by Attorney based on the substance and complexity of the USPTO correspondence. A substantive response may exceed the stated starting fee where the refusal involves multiple cited registrations, extensive legal research, significant evidentiary development, a final refusal, or unusual complexity.</w:t>
      </w:r>
    </w:p>
    <w:p>
      <w:pPr>
        <w:spacing w:after="140" w:line="276"/>
      </w:pPr>
      <w:r>
        <w:rPr>
          <w:rFonts w:ascii="Calibri" w:cs="Calibri" w:eastAsia="Calibri" w:hAnsi="Calibri"/>
          <w:sz w:val="21"/>
          <w:szCs w:val="21"/>
        </w:rPr>
        <w:t xml:space="preserve">Hourly Rate: Where this Agreement expressly provides for hourly billing, or where Client and Attorney separately agree in writing that additional services will be performed on an hourly basis, Attorney’s hourly rate is $275/hour, billed in quarter-hour (.25) increments. Flat-fee services identified in this Agreement remain governed by their stated flat fees.</w:t>
      </w:r>
    </w:p>
    <w:p>
      <w:pPr>
        <w:spacing w:after="100" w:before="200"/>
      </w:pPr>
      <w:r>
        <w:rPr>
          <w:rFonts w:ascii="Calibri" w:cs="Calibri" w:eastAsia="Calibri" w:hAnsi="Calibri"/>
          <w:b/>
          <w:bCs/>
          <w:color w:val="1F3050"/>
          <w:sz w:val="22"/>
          <w:szCs w:val="22"/>
        </w:rPr>
        <w:t xml:space="preserve">Section 4. Payment Election, Fees, and Billing</w:t>
      </w:r>
    </w:p>
    <w:p>
      <w:pPr>
        <w:spacing w:after="140" w:line="276"/>
      </w:pPr>
      <w:r>
        <w:rPr>
          <w:rFonts w:ascii="Calibri" w:cs="Calibri" w:eastAsia="Calibri" w:hAnsi="Calibri"/>
          <w:sz w:val="21"/>
          <w:szCs w:val="21"/>
        </w:rPr>
        <w:t xml:space="preserve">The total fee is due at signing of this Agreement and held in trust until delivery of the brief risk assessment.</w:t>
      </w:r>
    </w:p>
    <w:p>
      <w:pPr>
        <w:spacing w:after="140" w:line="276"/>
      </w:pPr>
      <w:r>
        <w:rPr>
          <w:rFonts w:ascii="Calibri" w:cs="Calibri" w:eastAsia="Calibri" w:hAnsi="Calibri"/>
          <w:sz w:val="21"/>
          <w:szCs w:val="21"/>
        </w:rPr>
        <w:t xml:space="preserve">Attorney Hourly Rate: For additional services that the parties agree will be billed hourly, Attorney’s rate is $275/hour, billed in quarter-hour (.25) increments, unless a separate written agreement expressly states otherwise.</w:t>
      </w:r>
    </w:p>
    <w:p>
      <w:pPr>
        <w:spacing w:after="100" w:before="200"/>
      </w:pPr>
      <w:r>
        <w:rPr>
          <w:rFonts w:ascii="Calibri" w:cs="Calibri" w:eastAsia="Calibri" w:hAnsi="Calibri"/>
          <w:b/>
          <w:bCs/>
          <w:color w:val="1F3050"/>
          <w:sz w:val="22"/>
          <w:szCs w:val="22"/>
        </w:rPr>
        <w:t xml:space="preserve">Section 5. Fee Earning Milestones and Trust Accounting</w:t>
      </w:r>
    </w:p>
    <w:p>
      <w:pPr>
        <w:spacing w:after="140" w:line="276"/>
      </w:pPr>
      <w:r>
        <w:rPr>
          <w:rFonts w:ascii="Calibri" w:cs="Calibri" w:eastAsia="Calibri" w:hAnsi="Calibri"/>
          <w:sz w:val="21"/>
          <w:szCs w:val="21"/>
        </w:rPr>
        <w:t xml:space="preserve">Advance attorney fees will be handled in accordance with applicable trust-account and professional-conduct rules.</w:t>
      </w:r>
    </w:p>
    <w:p>
      <w:pPr>
        <w:spacing w:after="140" w:line="276"/>
      </w:pPr>
      <w:r>
        <w:rPr>
          <w:rFonts w:ascii="Calibri" w:cs="Calibri" w:eastAsia="Calibri" w:hAnsi="Calibri"/>
          <w:sz w:val="21"/>
          <w:szCs w:val="21"/>
        </w:rPr>
        <w:t xml:space="preserve">The fee is earned upon Attorney’s completion of the knockout search and delivery of the brief risk assessment. If Attorney has already completed the search prior to this Agreement’s execution, the full fee is earned upon execution of this Agreement and Client’s payment.</w:t>
      </w:r>
    </w:p>
    <w:p>
      <w:pPr>
        <w:spacing w:after="100" w:before="200"/>
      </w:pPr>
      <w:r>
        <w:rPr>
          <w:rFonts w:ascii="Calibri" w:cs="Calibri" w:eastAsia="Calibri" w:hAnsi="Calibri"/>
          <w:b/>
          <w:bCs/>
          <w:color w:val="1F3050"/>
          <w:sz w:val="22"/>
          <w:szCs w:val="22"/>
        </w:rPr>
        <w:t xml:space="preserve">Section 6. Registration Timeline and Process Overview</w:t>
      </w:r>
    </w:p>
    <w:p>
      <w:pPr>
        <w:spacing w:after="140" w:line="276"/>
      </w:pPr>
      <w:r>
        <w:rPr>
          <w:rFonts w:ascii="Calibri" w:cs="Calibri" w:eastAsia="Calibri" w:hAnsi="Calibri"/>
          <w:sz w:val="21"/>
          <w:szCs w:val="21"/>
        </w:rPr>
        <w:t xml:space="preserve">Client acknowledges and understands the following regarding the federal trademark registration process for the Proposed Mark:</w:t>
      </w:r>
    </w:p>
    <w:p>
      <w:pPr>
        <w:spacing w:after="140" w:line="276"/>
      </w:pPr>
      <w:r>
        <w:rPr>
          <w:rFonts w:ascii="Calibri" w:cs="Calibri" w:eastAsia="Calibri" w:hAnsi="Calibri"/>
          <w:sz w:val="21"/>
          <w:szCs w:val="21"/>
        </w:rPr>
        <w:t xml:space="preserve">Trademark applications generally proceed under one of two filing bases. A Use in Commerce (Track A) application applies where Client is already selling goods or providing services under the mark as of the filing date. An Intent to Use (Track B) application applies where Client has a bona fide intention to use the mark but has not yet begun qualifying use as of the filing date.</w:t>
      </w:r>
    </w:p>
    <w:p>
      <w:pPr>
        <w:spacing w:after="140" w:line="276"/>
      </w:pPr>
      <w:r>
        <w:rPr>
          <w:rFonts w:ascii="Calibri" w:cs="Calibri" w:eastAsia="Calibri" w:hAnsi="Calibri"/>
          <w:sz w:val="21"/>
          <w:szCs w:val="21"/>
        </w:rPr>
        <w:t xml:space="preserve">Track A: Use in Commerce</w:t>
      </w:r>
    </w:p>
    <w:p>
      <w:pPr>
        <w:pStyle w:val="ListParagraph"/>
        <w:numPr>
          <w:ilvl w:val="0"/>
          <w:numId w:val="1"/>
        </w:numPr>
        <w:spacing w:after="140" w:line="276"/>
      </w:pPr>
      <w:r>
        <w:rPr>
          <w:rFonts w:ascii="Calibri" w:cs="Calibri" w:eastAsia="Calibri" w:hAnsi="Calibri"/>
          <w:sz w:val="21"/>
          <w:szCs w:val="21"/>
        </w:rPr>
        <w:t xml:space="preserve">Filing: Attorney files the application with the USPTO. The application receives a serial number and appears in the USPTO’s Trademark Status and Document Retrieval (TSDR) system.</w:t>
      </w:r>
    </w:p>
    <w:p>
      <w:pPr>
        <w:pStyle w:val="ListParagraph"/>
        <w:numPr>
          <w:ilvl w:val="0"/>
          <w:numId w:val="1"/>
        </w:numPr>
        <w:spacing w:after="140" w:line="276"/>
      </w:pPr>
      <w:r>
        <w:rPr>
          <w:rFonts w:ascii="Calibri" w:cs="Calibri" w:eastAsia="Calibri" w:hAnsi="Calibri"/>
          <w:sz w:val="21"/>
          <w:szCs w:val="21"/>
        </w:rPr>
        <w:t xml:space="preserve">Examination: A USPTO examining attorney reviews the application to determine whether federal law permits registration. If an issue is identified, the USPTO may issue an Office Action. Office Action response work is separate from the Search and File package unless otherwise agreed in writing.</w:t>
      </w:r>
    </w:p>
    <w:p>
      <w:pPr>
        <w:pStyle w:val="ListParagraph"/>
        <w:numPr>
          <w:ilvl w:val="0"/>
          <w:numId w:val="1"/>
        </w:numPr>
        <w:spacing w:after="140" w:line="276"/>
      </w:pPr>
      <w:r>
        <w:rPr>
          <w:rFonts w:ascii="Calibri" w:cs="Calibri" w:eastAsia="Calibri" w:hAnsi="Calibri"/>
          <w:sz w:val="21"/>
          <w:szCs w:val="21"/>
        </w:rPr>
        <w:t xml:space="preserve">Publication: If the examining attorney approves the application, the mark is generally published in the Official Gazette for a thirty (30) day period during which third parties may oppose registration.</w:t>
      </w:r>
    </w:p>
    <w:p>
      <w:pPr>
        <w:pStyle w:val="ListParagraph"/>
        <w:numPr>
          <w:ilvl w:val="0"/>
          <w:numId w:val="1"/>
        </w:numPr>
        <w:spacing w:after="140" w:line="276"/>
      </w:pPr>
      <w:r>
        <w:rPr>
          <w:rFonts w:ascii="Calibri" w:cs="Calibri" w:eastAsia="Calibri" w:hAnsi="Calibri"/>
          <w:sz w:val="21"/>
          <w:szCs w:val="21"/>
        </w:rPr>
        <w:t xml:space="preserve">Registration: If no opposition prevents registration and the application satisfies the applicable requirements, the mark proceeds to registration and the USPTO issues a registration certificate.</w:t>
      </w:r>
    </w:p>
    <w:p>
      <w:pPr>
        <w:spacing w:after="140" w:line="276"/>
      </w:pPr>
      <w:r>
        <w:rPr>
          <w:rFonts w:ascii="Calibri" w:cs="Calibri" w:eastAsia="Calibri" w:hAnsi="Calibri"/>
          <w:sz w:val="21"/>
          <w:szCs w:val="21"/>
        </w:rPr>
        <w:t xml:space="preserve">Track B: Intent to Use</w:t>
      </w:r>
    </w:p>
    <w:p>
      <w:pPr>
        <w:pStyle w:val="ListParagraph"/>
        <w:numPr>
          <w:ilvl w:val="0"/>
          <w:numId w:val="1"/>
        </w:numPr>
        <w:spacing w:after="140" w:line="276"/>
      </w:pPr>
      <w:r>
        <w:rPr>
          <w:rFonts w:ascii="Calibri" w:cs="Calibri" w:eastAsia="Calibri" w:hAnsi="Calibri"/>
          <w:sz w:val="21"/>
          <w:szCs w:val="21"/>
        </w:rPr>
        <w:t xml:space="preserve">Filing: Attorney files the application with the USPTO and it receives a serial number.</w:t>
      </w:r>
    </w:p>
    <w:p>
      <w:pPr>
        <w:pStyle w:val="ListParagraph"/>
        <w:numPr>
          <w:ilvl w:val="0"/>
          <w:numId w:val="1"/>
        </w:numPr>
        <w:spacing w:after="140" w:line="276"/>
      </w:pPr>
      <w:r>
        <w:rPr>
          <w:rFonts w:ascii="Calibri" w:cs="Calibri" w:eastAsia="Calibri" w:hAnsi="Calibri"/>
          <w:sz w:val="21"/>
          <w:szCs w:val="21"/>
        </w:rPr>
        <w:t xml:space="preserve">Examination: A USPTO examining attorney reviews the application. If an Office Action issues, any response is separately scoped and billed unless otherwise agreed.</w:t>
      </w:r>
    </w:p>
    <w:p>
      <w:pPr>
        <w:pStyle w:val="ListParagraph"/>
        <w:numPr>
          <w:ilvl w:val="0"/>
          <w:numId w:val="1"/>
        </w:numPr>
        <w:spacing w:after="140" w:line="276"/>
      </w:pPr>
      <w:r>
        <w:rPr>
          <w:rFonts w:ascii="Calibri" w:cs="Calibri" w:eastAsia="Calibri" w:hAnsi="Calibri"/>
          <w:sz w:val="21"/>
          <w:szCs w:val="21"/>
        </w:rPr>
        <w:t xml:space="preserve">Publication: If approved, the mark is generally published for a thirty (30) day opposition period.</w:t>
      </w:r>
    </w:p>
    <w:p>
      <w:pPr>
        <w:pStyle w:val="ListParagraph"/>
        <w:numPr>
          <w:ilvl w:val="0"/>
          <w:numId w:val="1"/>
        </w:numPr>
        <w:spacing w:after="140" w:line="276"/>
      </w:pPr>
      <w:r>
        <w:rPr>
          <w:rFonts w:ascii="Calibri" w:cs="Calibri" w:eastAsia="Calibri" w:hAnsi="Calibri"/>
          <w:sz w:val="21"/>
          <w:szCs w:val="21"/>
        </w:rPr>
        <w:t xml:space="preserve">Notice of Allowance: If no opposition prevents the application from proceeding, the USPTO issues a Notice of Allowance.</w:t>
      </w:r>
    </w:p>
    <w:p>
      <w:pPr>
        <w:pStyle w:val="ListParagraph"/>
        <w:numPr>
          <w:ilvl w:val="0"/>
          <w:numId w:val="1"/>
        </w:numPr>
        <w:spacing w:after="140" w:line="276"/>
      </w:pPr>
      <w:r>
        <w:rPr>
          <w:rFonts w:ascii="Calibri" w:cs="Calibri" w:eastAsia="Calibri" w:hAnsi="Calibri"/>
          <w:sz w:val="21"/>
          <w:szCs w:val="21"/>
        </w:rPr>
        <w:t xml:space="preserve">Statement of Use or Extension Request: Client must then timely submit qualifying evidence of use through a Statement of Use or request additional time through an Extension Request, as permitted by USPTO rules. These submissions and their government fees are separate from the Search and File fee.</w:t>
      </w:r>
    </w:p>
    <w:p>
      <w:pPr>
        <w:pStyle w:val="ListParagraph"/>
        <w:numPr>
          <w:ilvl w:val="0"/>
          <w:numId w:val="1"/>
        </w:numPr>
        <w:spacing w:after="140" w:line="276"/>
      </w:pPr>
      <w:r>
        <w:rPr>
          <w:rFonts w:ascii="Calibri" w:cs="Calibri" w:eastAsia="Calibri" w:hAnsi="Calibri"/>
          <w:sz w:val="21"/>
          <w:szCs w:val="21"/>
        </w:rPr>
        <w:t xml:space="preserve">Registration: Once the applicable use requirements are satisfied and accepted, the mark may proceed to registration.</w:t>
      </w:r>
    </w:p>
    <w:p>
      <w:pPr>
        <w:spacing w:after="140" w:line="276"/>
      </w:pPr>
      <w:r>
        <w:rPr>
          <w:rFonts w:ascii="Calibri" w:cs="Calibri" w:eastAsia="Calibri" w:hAnsi="Calibri"/>
          <w:sz w:val="21"/>
          <w:szCs w:val="21"/>
        </w:rPr>
        <w:t xml:space="preserve">Processing Time: USPTO processing times change. Attorney may provide Client with then-current published USPTO estimates during the representation. Any estimate is informational only. Office Actions, oppositions, requests for additional evidence, intent-to-use requirements, Client delay, or USPTO delay can extend the overall timeline.</w:t>
      </w:r>
    </w:p>
    <w:p>
      <w:pPr>
        <w:spacing w:after="140" w:line="276"/>
      </w:pPr>
      <w:r>
        <w:rPr>
          <w:rFonts w:ascii="Calibri" w:cs="Calibri" w:eastAsia="Calibri" w:hAnsi="Calibri"/>
          <w:sz w:val="21"/>
          <w:szCs w:val="21"/>
        </w:rPr>
        <w:t xml:space="preserve">Attorney makes no guarantee of registration or of any particular processing timeframe.</w:t>
      </w:r>
    </w:p>
    <w:p>
      <w:pPr>
        <w:spacing w:after="100" w:before="200"/>
      </w:pPr>
      <w:r>
        <w:rPr>
          <w:rFonts w:ascii="Calibri" w:cs="Calibri" w:eastAsia="Calibri" w:hAnsi="Calibri"/>
          <w:b/>
          <w:bCs/>
          <w:color w:val="1F3050"/>
          <w:sz w:val="22"/>
          <w:szCs w:val="22"/>
        </w:rPr>
        <w:t xml:space="preserve">Section 7. Client Responsibilities</w:t>
      </w:r>
    </w:p>
    <w:p>
      <w:pPr>
        <w:spacing w:after="140" w:line="276"/>
      </w:pPr>
      <w:r>
        <w:rPr>
          <w:rFonts w:ascii="Calibri" w:cs="Calibri" w:eastAsia="Calibri" w:hAnsi="Calibri"/>
          <w:sz w:val="21"/>
          <w:szCs w:val="21"/>
        </w:rPr>
        <w:t xml:space="preserve">General: Client agrees to be truthful with Attorney, to cooperate, to provide all factual and documentary evidence necessary for Attorney to perform the professional services, to abide by this Agreement and to keep Attorney advised of Client’s address, telephone number, and email address. In the event the Firm is unable to locate Client, the Firm may terminate all further representation of Client by sending an email to Client’s last known email address and filing all necessary documents to seek permission to withdraw from any formal representation.</w:t>
      </w:r>
    </w:p>
    <w:p>
      <w:pPr>
        <w:spacing w:after="140" w:line="276"/>
      </w:pPr>
      <w:r>
        <w:rPr>
          <w:rFonts w:ascii="Calibri" w:cs="Calibri" w:eastAsia="Calibri" w:hAnsi="Calibri"/>
          <w:sz w:val="21"/>
          <w:szCs w:val="21"/>
        </w:rPr>
        <w:t xml:space="preserve">Use of TM, SM, and R: Client may use the "TM" symbol for unregistered marks, slogans, or logos to claim ownership under common law (or the "SM" mark for services), even while an application is pending. In signing this Agreement, Client acknowledges that this denotation does not fully inoculate Client in the event someone else registers the mark, slogan, or logo first. Client also acknowledges that the registered symbol is legally restricted and may only be used after the United States Patent and Trademark Office (USPTO) officially registers Client’s trademark and issues a registration certificate. Improper use of the registered symbol may result in legal penalties and/or lawsuits, for which Client is wholly responsible. Representation of the Client regarding such matters is expressly excluded from Legal Services under this Agreement.</w:t>
      </w:r>
    </w:p>
    <w:p>
      <w:pPr>
        <w:spacing w:after="100" w:before="200"/>
      </w:pPr>
      <w:r>
        <w:rPr>
          <w:rFonts w:ascii="Calibri" w:cs="Calibri" w:eastAsia="Calibri" w:hAnsi="Calibri"/>
          <w:b/>
          <w:bCs/>
          <w:color w:val="1F3050"/>
          <w:sz w:val="22"/>
          <w:szCs w:val="22"/>
        </w:rPr>
        <w:t xml:space="preserve">Section 8. Business Hours and Communication Policies</w:t>
      </w:r>
    </w:p>
    <w:p>
      <w:pPr>
        <w:spacing w:after="140" w:line="276"/>
      </w:pPr>
      <w:r>
        <w:rPr>
          <w:rFonts w:ascii="Calibri" w:cs="Calibri" w:eastAsia="Calibri" w:hAnsi="Calibri"/>
          <w:sz w:val="21"/>
          <w:szCs w:val="21"/>
        </w:rPr>
        <w:t xml:space="preserve">Attorney’s business hours are Monday through Friday, 9:30 a.m. to 4:30 p.m. Central Time. Client will communicate with Attorney through email, telephone, or the Firm’s case-management portal. Social media is not an approved avenue for communications concerning Client’s legal matter.</w:t>
      </w:r>
    </w:p>
    <w:p>
      <w:pPr>
        <w:spacing w:after="140" w:line="276"/>
      </w:pPr>
      <w:r>
        <w:rPr>
          <w:rFonts w:ascii="Calibri" w:cs="Calibri" w:eastAsia="Calibri" w:hAnsi="Calibri"/>
          <w:sz w:val="21"/>
          <w:szCs w:val="21"/>
        </w:rPr>
        <w:t xml:space="preserve">When Attorney sends a material communication requiring Client action, Client will respond within ten (10) business days unless a different deadline is stated. Attorney may send a follow-up reminder and may suspend or terminate representation for material failure to communicate, subject to applicable professional obligations.</w:t>
      </w:r>
    </w:p>
    <w:p>
      <w:pPr>
        <w:spacing w:after="140" w:line="276"/>
      </w:pPr>
      <w:r>
        <w:rPr>
          <w:rFonts w:ascii="Calibri" w:cs="Calibri" w:eastAsia="Calibri" w:hAnsi="Calibri"/>
          <w:sz w:val="21"/>
          <w:szCs w:val="21"/>
        </w:rPr>
        <w:t xml:space="preserve">Client has ten (10) business days from delivery of a draft or deliverable to identify requested corrections or objections in writing. Silence does not authorize a filing where Client approval or verification is legally required.</w:t>
      </w:r>
    </w:p>
    <w:p>
      <w:pPr>
        <w:spacing w:after="100" w:before="200"/>
      </w:pPr>
      <w:r>
        <w:rPr>
          <w:rFonts w:ascii="Calibri" w:cs="Calibri" w:eastAsia="Calibri" w:hAnsi="Calibri"/>
          <w:b/>
          <w:bCs/>
          <w:color w:val="1F3050"/>
          <w:sz w:val="22"/>
          <w:szCs w:val="22"/>
        </w:rPr>
        <w:t xml:space="preserve">Section 9. Client-Provided Research and Artificial Intelligence (AI) Materials</w:t>
      </w:r>
    </w:p>
    <w:p>
      <w:pPr>
        <w:spacing w:after="140" w:line="276"/>
      </w:pPr>
      <w:r>
        <w:rPr>
          <w:rFonts w:ascii="Calibri" w:cs="Calibri" w:eastAsia="Calibri" w:hAnsi="Calibri"/>
          <w:sz w:val="21"/>
          <w:szCs w:val="21"/>
        </w:rPr>
        <w:t xml:space="preserve">Review of client-supplied research, internet materials, social media content, or artificial intelligence-generated information is outside the defined scope of legal services described in this Agreement unless Attorney determines such review is reasonably necessary to advance Client’s legal objectives. Any review, analysis, verification, or response to such materials will be undertaken solely at Attorney’s discretion and will constitute billable legal work. Such time will be billed at Attorney’s standard hourly rate or, in flat-fee matters, as an additional fee separate from and not included in the flat fee. Attorney is not obligated to advance arguments, cite authorities, or incorporate materials that Attorney determines to be inaccurate, unsupported, strategically unsound, or inconsistent with applicable law or ethical obligations.</w:t>
      </w:r>
    </w:p>
    <w:p>
      <w:pPr>
        <w:spacing w:after="140" w:line="276"/>
      </w:pPr>
      <w:r>
        <w:rPr>
          <w:rFonts w:ascii="Calibri" w:cs="Calibri" w:eastAsia="Calibri" w:hAnsi="Calibri"/>
          <w:sz w:val="21"/>
          <w:szCs w:val="21"/>
        </w:rPr>
        <w:t xml:space="preserve">WARNING: use of AI and search engine prompts and queries related to your matter may constitute waiver of attorney-client privilege and confidentiality of such information and documents, which may be discoverable and used against you. AI and search engines are not attorneys and may not owe you any duty of confidentiality or privilege protections.</w:t>
      </w:r>
    </w:p>
    <w:p>
      <w:pPr>
        <w:spacing w:after="100" w:before="200"/>
      </w:pPr>
      <w:r>
        <w:rPr>
          <w:rFonts w:ascii="Calibri" w:cs="Calibri" w:eastAsia="Calibri" w:hAnsi="Calibri"/>
          <w:b/>
          <w:bCs/>
          <w:color w:val="1F3050"/>
          <w:sz w:val="22"/>
          <w:szCs w:val="22"/>
        </w:rPr>
        <w:t xml:space="preserve">Section 10. Authority Power of Attorney</w:t>
      </w:r>
    </w:p>
    <w:p>
      <w:pPr>
        <w:spacing w:after="140" w:line="276"/>
      </w:pPr>
      <w:r>
        <w:rPr>
          <w:rFonts w:ascii="Calibri" w:cs="Calibri" w:eastAsia="Calibri" w:hAnsi="Calibri"/>
          <w:sz w:val="21"/>
          <w:szCs w:val="21"/>
        </w:rPr>
        <w:t xml:space="preserve">Client authorizes Jennifer N. Brantley, Esq. and J Brantley Law, PLLC to act as counsel within the scope of this engagement and to submit documents authorized by Client or otherwise permitted by applicable USPTO rules and professional obligations. Attorney will not make material factual certifications on Client’s behalf without appropriate Client authorization.</w:t>
      </w:r>
    </w:p>
    <w:p>
      <w:pPr>
        <w:spacing w:after="100" w:before="200"/>
      </w:pPr>
      <w:r>
        <w:rPr>
          <w:rFonts w:ascii="Calibri" w:cs="Calibri" w:eastAsia="Calibri" w:hAnsi="Calibri"/>
          <w:b/>
          <w:bCs/>
          <w:color w:val="1F3050"/>
          <w:sz w:val="22"/>
          <w:szCs w:val="22"/>
        </w:rPr>
        <w:t xml:space="preserve">Section 11. USPTO Fees and Government Costs</w:t>
      </w:r>
    </w:p>
    <w:p>
      <w:pPr>
        <w:spacing w:after="140" w:line="276"/>
      </w:pPr>
      <w:r>
        <w:rPr>
          <w:rFonts w:ascii="Calibri" w:cs="Calibri" w:eastAsia="Calibri" w:hAnsi="Calibri"/>
          <w:sz w:val="21"/>
          <w:szCs w:val="21"/>
        </w:rPr>
        <w:t xml:space="preserve">USPTO filing and other government fees are separate costs and are not included in Attorney’s fees unless expressly stated. Government fees may change during the representation. Client is responsible for the fee in effect when the applicable filing is made.</w:t>
      </w:r>
    </w:p>
    <w:p>
      <w:pPr>
        <w:spacing w:after="100" w:before="200"/>
      </w:pPr>
      <w:r>
        <w:rPr>
          <w:rFonts w:ascii="Calibri" w:cs="Calibri" w:eastAsia="Calibri" w:hAnsi="Calibri"/>
          <w:b/>
          <w:bCs/>
          <w:color w:val="1F3050"/>
          <w:sz w:val="22"/>
          <w:szCs w:val="22"/>
        </w:rPr>
        <w:t xml:space="preserve">Section 12. Conflicts, Confidentiality, and Insurance</w:t>
      </w:r>
    </w:p>
    <w:p>
      <w:pPr>
        <w:spacing w:after="140" w:line="276"/>
      </w:pPr>
      <w:r>
        <w:rPr>
          <w:rFonts w:ascii="Calibri" w:cs="Calibri" w:eastAsia="Calibri" w:hAnsi="Calibri"/>
          <w:sz w:val="21"/>
          <w:szCs w:val="21"/>
        </w:rPr>
        <w:t xml:space="preserve">Attorney will maintain Client confidences and address conflicts of interest in accordance with applicable professional-conduct rules. Attorney maintains professional liability insurance.</w:t>
      </w:r>
    </w:p>
    <w:p>
      <w:pPr>
        <w:spacing w:after="100" w:before="200"/>
      </w:pPr>
      <w:r>
        <w:rPr>
          <w:rFonts w:ascii="Calibri" w:cs="Calibri" w:eastAsia="Calibri" w:hAnsi="Calibri"/>
          <w:b/>
          <w:bCs/>
          <w:color w:val="1F3050"/>
          <w:sz w:val="22"/>
          <w:szCs w:val="22"/>
        </w:rPr>
        <w:t xml:space="preserve">Section 13. No Guarantee of Outcome or Estimates</w:t>
      </w:r>
    </w:p>
    <w:p>
      <w:pPr>
        <w:spacing w:after="140" w:line="276"/>
      </w:pPr>
      <w:r>
        <w:rPr>
          <w:rFonts w:ascii="Calibri" w:cs="Calibri" w:eastAsia="Calibri" w:hAnsi="Calibri"/>
          <w:sz w:val="21"/>
          <w:szCs w:val="21"/>
        </w:rPr>
        <w:t xml:space="preserve">Nothing in this Agreement or Attorney’s statements to Clients shall be construed as a promise or guarantee regarding trademark registration or about the outcome of the matter. Any estimate of fees or costs given by Attorney or non-attorney staff shall not be considered a guarantee. Client understands this is an application process which could result in denial of the Client’s trademark. Client further understands that if Client does not timely pay Client’s invoice for either the statement of use or extension request by invoice deadline Client’s trademark will abandon at no fault to Attorney and Client will have to pay additional fees to reinstate Client’s application.</w:t>
      </w:r>
    </w:p>
    <w:p>
      <w:pPr>
        <w:spacing w:after="100" w:before="200"/>
      </w:pPr>
      <w:r>
        <w:rPr>
          <w:rFonts w:ascii="Calibri" w:cs="Calibri" w:eastAsia="Calibri" w:hAnsi="Calibri"/>
          <w:b/>
          <w:bCs/>
          <w:color w:val="1F3050"/>
          <w:sz w:val="22"/>
          <w:szCs w:val="22"/>
        </w:rPr>
        <w:t xml:space="preserve">Section 14. Termination of Representation</w:t>
      </w:r>
    </w:p>
    <w:p>
      <w:pPr>
        <w:spacing w:after="140" w:line="276"/>
      </w:pPr>
      <w:r>
        <w:rPr>
          <w:rFonts w:ascii="Calibri" w:cs="Calibri" w:eastAsia="Calibri" w:hAnsi="Calibri"/>
          <w:sz w:val="21"/>
          <w:szCs w:val="21"/>
        </w:rPr>
        <w:t xml:space="preserve">Either Attorney or Client may terminate this engagement upon written notice, subject to Attorney’s professional obligations and any USPTO requirements applicable to withdrawal. Client remains responsible for fees earned and costs incurred through termination. Unearned advance funds will be returned as required by applicable law and professional-conduct rules.</w:t>
      </w:r>
    </w:p>
    <w:p>
      <w:pPr>
        <w:spacing w:after="100" w:before="200"/>
      </w:pPr>
      <w:r>
        <w:rPr>
          <w:rFonts w:ascii="Calibri" w:cs="Calibri" w:eastAsia="Calibri" w:hAnsi="Calibri"/>
          <w:b/>
          <w:bCs/>
          <w:color w:val="1F3050"/>
          <w:sz w:val="22"/>
          <w:szCs w:val="22"/>
        </w:rPr>
        <w:t xml:space="preserve">Section 15. Electronic Communications and Delivery Consent</w:t>
      </w:r>
    </w:p>
    <w:p>
      <w:pPr>
        <w:spacing w:after="140" w:line="276"/>
      </w:pPr>
      <w:r>
        <w:rPr>
          <w:rFonts w:ascii="Calibri" w:cs="Calibri" w:eastAsia="Calibri" w:hAnsi="Calibri"/>
          <w:sz w:val="21"/>
          <w:szCs w:val="21"/>
        </w:rPr>
        <w:t xml:space="preserve">Client consents to receive this Agreement, invoices, drafts, USPTO correspondence, deliverables, and other communications electronically through the email address or client portal on file. Client must promptly notify Attorney of any change to Client’s contact information.</w:t>
      </w:r>
    </w:p>
    <w:p>
      <w:pPr>
        <w:spacing w:after="100" w:before="200"/>
      </w:pPr>
      <w:r>
        <w:rPr>
          <w:rFonts w:ascii="Calibri" w:cs="Calibri" w:eastAsia="Calibri" w:hAnsi="Calibri"/>
          <w:b/>
          <w:bCs/>
          <w:color w:val="1F3050"/>
          <w:sz w:val="22"/>
          <w:szCs w:val="22"/>
        </w:rPr>
        <w:t xml:space="preserve">Section 16. Governing Law and Dispute Resolution</w:t>
      </w:r>
    </w:p>
    <w:p>
      <w:pPr>
        <w:spacing w:after="140" w:line="276"/>
      </w:pPr>
      <w:r>
        <w:rPr>
          <w:rFonts w:ascii="Calibri" w:cs="Calibri" w:eastAsia="Calibri" w:hAnsi="Calibri"/>
          <w:sz w:val="21"/>
          <w:szCs w:val="21"/>
        </w:rPr>
        <w:t xml:space="preserve">This Agreement is governed by the laws of the State of Texas, except to the extent another jurisdiction’s mandatory law or professional-conduct rules apply.</w:t>
      </w:r>
    </w:p>
    <w:p>
      <w:pPr>
        <w:spacing w:after="100" w:before="200"/>
      </w:pPr>
      <w:r>
        <w:rPr>
          <w:rFonts w:ascii="Calibri" w:cs="Calibri" w:eastAsia="Calibri" w:hAnsi="Calibri"/>
          <w:b/>
          <w:bCs/>
          <w:color w:val="1F3050"/>
          <w:sz w:val="22"/>
          <w:szCs w:val="22"/>
        </w:rPr>
        <w:t xml:space="preserve">Section 17. Publicity</w:t>
      </w:r>
    </w:p>
    <w:p>
      <w:pPr>
        <w:spacing w:after="140" w:line="276"/>
      </w:pPr>
      <w:r>
        <w:rPr>
          <w:rFonts w:ascii="Calibri" w:cs="Calibri" w:eastAsia="Calibri" w:hAnsi="Calibri"/>
          <w:sz w:val="21"/>
          <w:szCs w:val="21"/>
        </w:rPr>
        <w:t xml:space="preserve">Publicity and Marketing Consent (Optional): Client’s consent to publicity is entirely optional and is not a condition of representation. Unless Client affirmatively opts in below, the Firm will not identify Client or use Client’s name, registration certificate, testimonial, outcome, or case description for marketing or business-development purposes, except as otherwise permitted by applicable law and professional-conduct rules.</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I OPT IN. I authorize J Brantley Law, PLLC to identify me and/or my company as a client and to share non-confidential information about the Firm’s work on this trademark matter, including registration certificates, outcomes, and general case descriptions, for the Firm’s marketing and business-development purposes. I understand that I may revoke this consent prospectively at any time by written notice to the Firm.</w:t>
      </w:r>
    </w:p>
    <w:p>
      <w:pPr>
        <w:spacing w:after="100" w:before="200"/>
      </w:pPr>
      <w:r>
        <w:rPr>
          <w:rFonts w:ascii="Calibri" w:cs="Calibri" w:eastAsia="Calibri" w:hAnsi="Calibri"/>
          <w:b/>
          <w:bCs/>
          <w:color w:val="1F3050"/>
          <w:sz w:val="22"/>
          <w:szCs w:val="22"/>
        </w:rPr>
        <w:t xml:space="preserve">Section 18. Entire Agreement</w:t>
      </w:r>
    </w:p>
    <w:p>
      <w:pPr>
        <w:spacing w:after="140" w:line="276"/>
      </w:pPr>
      <w:r>
        <w:rPr>
          <w:rFonts w:ascii="Calibri" w:cs="Calibri" w:eastAsia="Calibri" w:hAnsi="Calibri"/>
          <w:sz w:val="21"/>
          <w:szCs w:val="21"/>
        </w:rPr>
        <w:t xml:space="preserve">This Agreement constitutes the entire agreement between Attorney and Client regarding the services described and supersedes prior discussions or understandings concerning that scope. Additional services or amendments must be confirmed in writing.</w:t>
      </w:r>
    </w:p>
    <w:p>
      <w:pPr>
        <w:spacing w:after="140" w:line="276"/>
      </w:pPr>
      <w:r>
        <w:rPr>
          <w:rFonts w:ascii="Calibri" w:cs="Calibri" w:eastAsia="Calibri" w:hAnsi="Calibri"/>
          <w:sz w:val="21"/>
          <w:szCs w:val="21"/>
        </w:rPr>
        <w:t xml:space="preserve">By signing below, Client confirms the elections above and agrees to the terms of this Agreement.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Attorney Signature                                             Date</w:t>
      </w:r>
    </w:p>
    <w:p>
      <w:pPr>
        <w:spacing w:after="140" w:line="276"/>
      </w:pPr>
      <w:r>
        <w:rPr>
          <w:rFonts w:ascii="Calibri" w:cs="Calibri" w:eastAsia="Calibri" w:hAnsi="Calibri"/>
          <w:sz w:val="21"/>
          <w:szCs w:val="21"/>
        </w:rPr>
        <w:t xml:space="preserve">Jennifer N. Brantley, Esq., 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2026-10-08T01:55:35.687Z</dcterms:created>
  <dcterms:modified xsi:type="dcterms:W3CDTF">2026-10-08T01:55:35.696Z</dcterms:modified>
</cp:coreProperties>
</file>

<file path=docProps/custom.xml><?xml version="1.0" encoding="utf-8"?>
<Properties xmlns="http://schemas.openxmlformats.org/officeDocument/2006/custom-properties" xmlns:vt="http://schemas.openxmlformats.org/officeDocument/2006/docPropsVTypes"/>
</file>