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Georgia" w:cs="Georgia" w:eastAsia="Georgia" w:hAnsi="Georgia"/>
          <w:b/>
          <w:bCs/>
          <w:color w:val="1F3050"/>
          <w:sz w:val="30"/>
          <w:szCs w:val="30"/>
        </w:rPr>
        <w:t xml:space="preserve">J Brantley Law, PLLC</w:t>
      </w:r>
    </w:p>
    <w:p>
      <w:pPr>
        <w:spacing w:after="200"/>
        <w:jc w:val="center"/>
      </w:pPr>
      <w:r>
        <w:rPr>
          <w:rFonts w:ascii="Calibri" w:cs="Calibri" w:eastAsia="Calibri" w:hAnsi="Calibri"/>
          <w:color w:val="555555"/>
          <w:sz w:val="16"/>
          <w:szCs w:val="16"/>
        </w:rPr>
        <w:t xml:space="preserve">5900 Balcones Dr., #9008, Austin, TX 78731   |   (210) 742-2435   |   jbrantley@jenniferbrantleylaw.com</w:t>
      </w:r>
    </w:p>
    <w:p>
      <w:pPr>
        <w:pBdr>
          <w:bottom w:val="single" w:color="C9A227" w:sz="6"/>
        </w:pBdr>
        <w:spacing w:after="200" w:before="60"/>
      </w:pPr>
    </w:p>
    <w:p>
      <w:pPr>
        <w:spacing w:after="120" w:before="280"/>
      </w:pPr>
      <w:r>
        <w:rPr>
          <w:rFonts w:ascii="Georgia" w:cs="Georgia" w:eastAsia="Georgia" w:hAnsi="Georgia"/>
          <w:b/>
          <w:bCs/>
          <w:color w:val="1F3050"/>
          <w:sz w:val="24"/>
          <w:szCs w:val="24"/>
        </w:rPr>
        <w:t xml:space="preserve">Trademark Engagement Agreement — Search and Clear</w:t>
      </w:r>
    </w:p>
    <w:p>
      <w:pPr>
        <w:spacing w:after="140" w:line="276"/>
      </w:pPr>
      <w:r>
        <w:rPr>
          <w:rFonts w:ascii="Calibri" w:cs="Calibri" w:eastAsia="Calibri" w:hAnsi="Calibri"/>
          <w:sz w:val="21"/>
          <w:szCs w:val="21"/>
        </w:rPr>
        <w:t xml:space="preserve">This Engagement Agreement ("Agreement") is entered into by and between J Brantley Law, PLLC ("Attorney" or "Firm"), and the undersigned individual or entity ("Client"), collectively the "Parties."</w:t>
      </w:r>
    </w:p>
    <w:p>
      <w:pPr>
        <w:spacing w:after="140" w:line="276"/>
      </w:pPr>
      <w:r>
        <w:rPr>
          <w:rFonts w:ascii="Calibri" w:cs="Calibri" w:eastAsia="Calibri" w:hAnsi="Calibri"/>
          <w:sz w:val="21"/>
          <w:szCs w:val="21"/>
        </w:rPr>
        <w:t xml:space="preserve">Thank you for choosing J Brantley Law, PLLC for representation in the matters described below. This letter sets forth the terms of engagement between the Firm and Client, in their individual capacity or as the Authorized Representative for the Company identified above ("Client"), regarding trademark registration services for {{answers.mark_name}} (the "Proposed Mark"). This proposal expires seven (7) business days from the date of issuance.</w:t>
      </w:r>
    </w:p>
    <w:p>
      <w:pPr>
        <w:spacing w:after="100" w:before="200"/>
      </w:pPr>
      <w:r>
        <w:rPr>
          <w:rFonts w:ascii="Calibri" w:cs="Calibri" w:eastAsia="Calibri" w:hAnsi="Calibri"/>
          <w:b/>
          <w:bCs/>
          <w:color w:val="1F3050"/>
          <w:sz w:val="22"/>
          <w:szCs w:val="22"/>
        </w:rPr>
        <w:t xml:space="preserve">Section 1. Scope of Representation</w:t>
      </w:r>
    </w:p>
    <w:p>
      <w:pPr>
        <w:spacing w:after="140" w:line="276"/>
      </w:pPr>
      <w:r>
        <w:rPr>
          <w:rFonts w:ascii="Calibri" w:cs="Calibri" w:eastAsia="Calibri" w:hAnsi="Calibri"/>
          <w:sz w:val="21"/>
          <w:szCs w:val="21"/>
        </w:rPr>
        <w:t xml:space="preserve">This engagement is limited to the services elected below. No other services are included in this engagement unless set forth in a separate written agreement signed by Attorney and Client.</w:t>
      </w:r>
    </w:p>
    <w:p>
      <w:pPr>
        <w:spacing w:after="140" w:line="276"/>
      </w:pPr>
      <w:r>
        <w:rPr>
          <w:rFonts w:ascii="Calibri" w:cs="Calibri" w:eastAsia="Calibri" w:hAnsi="Calibri"/>
          <w:sz w:val="21"/>
          <w:szCs w:val="21"/>
        </w:rPr>
        <w:t xml:space="preserve">The following are outside the scope of this engagement unless separately elected in writing: application tiers or classes not elected in this agreement, trademark litigation, opposition, or cancellation proceedings; patent prosecution, including design patents; copyright registration; state trademark filings; international or Madrid Protocol filings; and any matter not expressly described and elected in Section 2, below.</w:t>
      </w:r>
    </w:p>
    <w:p>
      <w:pPr>
        <w:spacing w:after="140" w:line="276"/>
      </w:pPr>
      <w:r>
        <w:rPr>
          <w:rFonts w:ascii="Calibri" w:cs="Calibri" w:eastAsia="Calibri" w:hAnsi="Calibri"/>
          <w:sz w:val="21"/>
          <w:szCs w:val="21"/>
        </w:rPr>
        <w:t xml:space="preserve">Client’s driver’s license number and state of issuance, provided in connection with the authorization granted below in the Authority / Power of Attorney section of this Agreement: {{answers.drivers_license}}.</w:t>
      </w:r>
    </w:p>
    <w:p>
      <w:pPr>
        <w:spacing w:after="100" w:before="200"/>
      </w:pPr>
      <w:r>
        <w:rPr>
          <w:rFonts w:ascii="Calibri" w:cs="Calibri" w:eastAsia="Calibri" w:hAnsi="Calibri"/>
          <w:b/>
          <w:bCs/>
          <w:color w:val="1F3050"/>
          <w:sz w:val="22"/>
          <w:szCs w:val="22"/>
        </w:rPr>
        <w:t xml:space="preserve">Section 2. Trademark Services and Fee Election</w:t>
      </w:r>
    </w:p>
    <w:p>
      <w:pPr>
        <w:spacing w:after="140" w:line="276"/>
      </w:pPr>
      <w:r>
        <w:rPr>
          <w:rFonts w:ascii="Calibri" w:cs="Calibri" w:eastAsia="Calibri" w:hAnsi="Calibri"/>
          <w:sz w:val="21"/>
          <w:szCs w:val="21"/>
        </w:rPr>
        <w:t xml:space="preserve">Client may elect one of the following services for the Proposed Mark. The fees displayed reflect attorney fees for one (1) mark in one (1) class unless otherwise stated. USPTO government fees are separate.</w:t>
      </w:r>
    </w:p>
    <w:p>
      <w:pPr>
        <w:spacing w:after="140" w:line="276"/>
      </w:pPr>
      <w:r>
        <w:rPr>
          <w:rFonts w:ascii="Calibri" w:cs="Calibri" w:eastAsia="Calibri" w:hAnsi="Calibri"/>
          <w:sz w:val="21"/>
          <w:szCs w:val="21"/>
        </w:rPr>
        <w:t xml:space="preserve">Search and Clear: Comprehensive clearance search for the Proposed Mark, with a written risk assessment, and consultation. Includes a deep-dive search of the USPTO database, state registries, business directories, domain names, and unregistered "common law" marks. This option does not include preparation or filing of a federal trademark application. Client can upgrade to a filing tier if this search is selected. Attorney fee: $650.00.</w:t>
      </w:r>
    </w:p>
    <w:p>
      <w:pPr>
        <w:spacing w:after="140" w:line="276"/>
      </w:pPr>
      <w:r>
        <w:rPr>
          <w:rFonts w:ascii="Calibri" w:cs="Calibri" w:eastAsia="Calibri" w:hAnsi="Calibri"/>
          <w:sz w:val="21"/>
          <w:szCs w:val="21"/>
        </w:rPr>
        <w:t xml:space="preserve">Upgrading Tiers: If Client begins with Search and Clear and elects Search and File within sixty (60) days after delivery of the written clearance opinion, the $650.00 Search and Clear fee paid will be credited against the $2,000.00 Search and File attorney fee. After sixty (60) days, or after a material delay, Attorney may require an updated search at the then-current rate. A different Proposed Mark requires a new clearance search.</w:t>
      </w:r>
    </w:p>
    <w:p>
      <w:pPr>
        <w:spacing w:after="100" w:before="200"/>
      </w:pPr>
      <w:r>
        <w:rPr>
          <w:rFonts w:ascii="Calibri" w:cs="Calibri" w:eastAsia="Calibri" w:hAnsi="Calibri"/>
          <w:b/>
          <w:bCs/>
          <w:color w:val="1F3050"/>
          <w:sz w:val="22"/>
          <w:szCs w:val="22"/>
        </w:rPr>
        <w:t xml:space="preserve">Section 3. Multiple Marks/Trademark Portfolio Pricing</w:t>
      </w:r>
    </w:p>
    <w:p>
      <w:pPr>
        <w:spacing w:after="140" w:line="276"/>
      </w:pPr>
      <w:r>
        <w:rPr>
          <w:rFonts w:ascii="Calibri" w:cs="Calibri" w:eastAsia="Calibri" w:hAnsi="Calibri"/>
          <w:sz w:val="21"/>
          <w:szCs w:val="21"/>
        </w:rPr>
        <w:t xml:space="preserve">The Search and File fee covers one (1) Proposed Mark. Each additional mark generally requires a separate clearance analysis and separate federal trademark application.</w:t>
      </w:r>
    </w:p>
    <w:p>
      <w:pPr>
        <w:spacing w:after="140" w:line="276"/>
      </w:pPr>
      <w:r>
        <w:rPr>
          <w:rFonts w:ascii="Calibri" w:cs="Calibri" w:eastAsia="Calibri" w:hAnsi="Calibri"/>
          <w:sz w:val="21"/>
          <w:szCs w:val="21"/>
        </w:rPr>
        <w:t xml:space="preserve">Where Client engages Attorney at the same time to clear and file multiple related marks owned by the same applicant and covering substantially similar goods or services, the first mark will be billed at the standard $2,000.00 Search and File attorney fee and each additional qualifying related mark will be billed at $1,500.00 in attorney fees for one (1) class, plus the applicable USPTO government fee for each separate application.</w:t>
      </w:r>
    </w:p>
    <w:p>
      <w:pPr>
        <w:spacing w:after="140" w:line="276"/>
      </w:pPr>
      <w:r>
        <w:rPr>
          <w:rFonts w:ascii="Calibri" w:cs="Calibri" w:eastAsia="Calibri" w:hAnsi="Calibri"/>
          <w:sz w:val="21"/>
          <w:szCs w:val="21"/>
        </w:rPr>
        <w:t xml:space="preserve">For Search and Clear only, the first related mark is $650.00 and each additional qualifying related mark searched concurrently is $500.00. If Client timely upgrades all qualifying marks to Search and File within sixty (60) days, the clearance fees paid for those marks will be credited toward the corresponding portfolio filing fees.</w:t>
      </w:r>
    </w:p>
    <w:p>
      <w:pPr>
        <w:spacing w:after="140" w:line="276"/>
      </w:pPr>
      <w:r>
        <w:rPr>
          <w:rFonts w:ascii="Calibri" w:cs="Calibri" w:eastAsia="Calibri" w:hAnsi="Calibri"/>
          <w:sz w:val="21"/>
          <w:szCs w:val="21"/>
        </w:rPr>
        <w:t xml:space="preserve">The multiple-mark rate applies only where the marks are submitted as part of the same engagement and sufficient overlap creates efficiencies in clearance, classification, and application preparation. Attorney determines whether proposed marks qualify. Unrelated marks, materially different goods or services, different owners/applicants, or marks submitted after work has substantially commenced may be quoted separately at the then-current rate.</w:t>
      </w:r>
    </w:p>
    <w:p>
      <w:pPr>
        <w:spacing w:after="140" w:line="276"/>
      </w:pPr>
      <w:r>
        <w:rPr>
          <w:rFonts w:ascii="Calibri" w:cs="Calibri" w:eastAsia="Calibri" w:hAnsi="Calibri"/>
          <w:sz w:val="21"/>
          <w:szCs w:val="21"/>
        </w:rPr>
        <w:t xml:space="preserve">Portfolio pricing for more than one mark is arranged directly with the firm and is not available through this online intake, which covers one Proposed Mark per submission.</w:t>
      </w:r>
    </w:p>
    <w:p>
      <w:pPr>
        <w:spacing w:after="100" w:before="200"/>
      </w:pPr>
      <w:r>
        <w:rPr>
          <w:rFonts w:ascii="Calibri" w:cs="Calibri" w:eastAsia="Calibri" w:hAnsi="Calibri"/>
          <w:b/>
          <w:bCs/>
          <w:color w:val="1F3050"/>
          <w:sz w:val="22"/>
          <w:szCs w:val="22"/>
        </w:rPr>
        <w:t xml:space="preserve">Section 4. Additional and Post-Filing Services</w:t>
      </w:r>
    </w:p>
    <w:p>
      <w:pPr>
        <w:spacing w:after="140" w:line="276"/>
      </w:pPr>
      <w:r>
        <w:rPr>
          <w:rFonts w:ascii="Calibri" w:cs="Calibri" w:eastAsia="Calibri" w:hAnsi="Calibri"/>
          <w:sz w:val="21"/>
          <w:szCs w:val="21"/>
        </w:rPr>
        <w:t xml:space="preserve">The following services are outside the elected tier unless separately elected in writing.</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Non-substantive / procedural Office Action response: $500.00 per response.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Substantive Office Action response: starting at $850.00, quoted based on complexity. A substantive response may exceed this starting fee where the refusal involves multiple cited registrations, extensive legal research, significant evidentiary development, a final refusal, or unusual complexity.</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Final, complex, or unusually research-intensive Office Action: separate written quote / engagement.</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Statement of Use: separately quoted when required, plus the applicable USPTO fee.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Extension Request for an intent-to-use application: separately quoted when required, plus the applicable USPTO fee.</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Amendment to an existing pro se filing: $850.00 per amendment, subject to file review.</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Additional class in the same application: $400.00 per class plus the applicable USPTO fee; complex multiclass matters may be separately quoted.</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Trademark cease-and-desist letter or response: $950.00 per letter; negotiations excluded unless separately engaged.</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Rush service, when accepted by Attorney: $500.00.</w:t>
      </w:r>
    </w:p>
    <w:p>
      <w:pPr>
        <w:spacing w:after="140" w:line="276"/>
      </w:pPr>
      <w:r>
        <w:rPr>
          <w:rFonts w:ascii="Calibri" w:cs="Calibri" w:eastAsia="Calibri" w:hAnsi="Calibri"/>
          <w:sz w:val="21"/>
          <w:szCs w:val="21"/>
        </w:rPr>
        <w:t xml:space="preserve">Office Action classifications are determined by Attorney based on the substance and complexity of the USPTO correspondence. A substantive response may exceed the stated starting fee where the refusal involves multiple cited registrations, extensive legal research, significant evidentiary development, a final refusal, or unusual complexity.</w:t>
      </w:r>
    </w:p>
    <w:p>
      <w:pPr>
        <w:spacing w:after="140" w:line="276"/>
      </w:pPr>
      <w:r>
        <w:rPr>
          <w:rFonts w:ascii="Calibri" w:cs="Calibri" w:eastAsia="Calibri" w:hAnsi="Calibri"/>
          <w:sz w:val="21"/>
          <w:szCs w:val="21"/>
        </w:rPr>
        <w:t xml:space="preserve">Hourly Rate: Where this Agreement expressly provides for hourly billing, or where Client and Attorney separately agree in writing that additional services will be performed on an hourly basis, Attorney’s hourly rate is $275/hour, billed in quarter-hour (.25) increments. Flat-fee services identified in this Agreement remain governed by their stated flat fees.</w:t>
      </w:r>
    </w:p>
    <w:p>
      <w:pPr>
        <w:spacing w:after="100" w:before="200"/>
      </w:pPr>
      <w:r>
        <w:rPr>
          <w:rFonts w:ascii="Calibri" w:cs="Calibri" w:eastAsia="Calibri" w:hAnsi="Calibri"/>
          <w:b/>
          <w:bCs/>
          <w:color w:val="1F3050"/>
          <w:sz w:val="22"/>
          <w:szCs w:val="22"/>
        </w:rPr>
        <w:t xml:space="preserve">Section 5. Payment Election, Fees, and Billing</w:t>
      </w:r>
    </w:p>
    <w:p>
      <w:pPr>
        <w:spacing w:after="140" w:line="276"/>
      </w:pPr>
      <w:r>
        <w:rPr>
          <w:rFonts w:ascii="Calibri" w:cs="Calibri" w:eastAsia="Calibri" w:hAnsi="Calibri"/>
          <w:sz w:val="21"/>
          <w:szCs w:val="21"/>
        </w:rPr>
        <w:t xml:space="preserve">For Search and Clear, full payment is due at signing.</w:t>
      </w:r>
    </w:p>
    <w:p>
      <w:pPr>
        <w:spacing w:after="140" w:line="276"/>
      </w:pPr>
      <w:r>
        <w:rPr>
          <w:rFonts w:ascii="Calibri" w:cs="Calibri" w:eastAsia="Calibri" w:hAnsi="Calibri"/>
          <w:sz w:val="21"/>
          <w:szCs w:val="21"/>
        </w:rPr>
        <w:t xml:space="preserve">Attorney Hourly Rate: For additional services that the parties agree will be billed hourly, Attorney’s rate is $275/hour, billed in quarter-hour (.25) increments, unless a separate written agreement expressly states otherwise.</w:t>
      </w:r>
    </w:p>
    <w:p>
      <w:pPr>
        <w:spacing w:after="100" w:before="200"/>
      </w:pPr>
      <w:r>
        <w:rPr>
          <w:rFonts w:ascii="Calibri" w:cs="Calibri" w:eastAsia="Calibri" w:hAnsi="Calibri"/>
          <w:b/>
          <w:bCs/>
          <w:color w:val="1F3050"/>
          <w:sz w:val="22"/>
          <w:szCs w:val="22"/>
        </w:rPr>
        <w:t xml:space="preserve">Section 6. Fee Earning Milestones and Trust Accounting</w:t>
      </w:r>
    </w:p>
    <w:p>
      <w:pPr>
        <w:spacing w:after="140" w:line="276"/>
      </w:pPr>
      <w:r>
        <w:rPr>
          <w:rFonts w:ascii="Calibri" w:cs="Calibri" w:eastAsia="Calibri" w:hAnsi="Calibri"/>
          <w:sz w:val="21"/>
          <w:szCs w:val="21"/>
        </w:rPr>
        <w:t xml:space="preserve">Advance attorney fees will be handled in accordance with applicable trust-account and professional-conduct rules.</w:t>
      </w:r>
    </w:p>
    <w:p>
      <w:pPr>
        <w:spacing w:after="140" w:line="276"/>
      </w:pPr>
      <w:r>
        <w:rPr>
          <w:rFonts w:ascii="Calibri" w:cs="Calibri" w:eastAsia="Calibri" w:hAnsi="Calibri"/>
          <w:sz w:val="21"/>
          <w:szCs w:val="21"/>
        </w:rPr>
        <w:t xml:space="preserve">The fee is earned upon Attorney’s completion of the clearance search and delivery of the written clearance opinion. If Attorney has already completed the search and clearance check prior to this Agreement’s execution, the full fee is earned upon execution of this Agreement and Client’s payment.</w:t>
      </w:r>
    </w:p>
    <w:p>
      <w:pPr>
        <w:spacing w:after="100" w:before="200"/>
      </w:pPr>
      <w:r>
        <w:rPr>
          <w:rFonts w:ascii="Calibri" w:cs="Calibri" w:eastAsia="Calibri" w:hAnsi="Calibri"/>
          <w:b/>
          <w:bCs/>
          <w:color w:val="1F3050"/>
          <w:sz w:val="22"/>
          <w:szCs w:val="22"/>
        </w:rPr>
        <w:t xml:space="preserve">Section 7. Registration Timeline and Process Overview</w:t>
      </w:r>
    </w:p>
    <w:p>
      <w:pPr>
        <w:spacing w:after="140" w:line="276"/>
      </w:pPr>
      <w:r>
        <w:rPr>
          <w:rFonts w:ascii="Calibri" w:cs="Calibri" w:eastAsia="Calibri" w:hAnsi="Calibri"/>
          <w:sz w:val="21"/>
          <w:szCs w:val="21"/>
        </w:rPr>
        <w:t xml:space="preserve">Client acknowledges and understands the following regarding the federal trademark registration process for the Proposed Mark:</w:t>
      </w:r>
    </w:p>
    <w:p>
      <w:pPr>
        <w:spacing w:after="140" w:line="276"/>
      </w:pPr>
      <w:r>
        <w:rPr>
          <w:rFonts w:ascii="Calibri" w:cs="Calibri" w:eastAsia="Calibri" w:hAnsi="Calibri"/>
          <w:sz w:val="21"/>
          <w:szCs w:val="21"/>
        </w:rPr>
        <w:t xml:space="preserve">Trademark applications generally proceed under one of two filing bases. A Use in Commerce (Track A) application applies where Client is already selling goods or providing services under the mark as of the filing date. An Intent to Use (Track B) application applies where Client has a bona fide intention to use the mark but has not yet begun qualifying use as of the filing date.</w:t>
      </w:r>
    </w:p>
    <w:p>
      <w:pPr>
        <w:spacing w:after="140" w:line="276"/>
      </w:pPr>
      <w:r>
        <w:rPr>
          <w:rFonts w:ascii="Calibri" w:cs="Calibri" w:eastAsia="Calibri" w:hAnsi="Calibri"/>
          <w:sz w:val="21"/>
          <w:szCs w:val="21"/>
        </w:rPr>
        <w:t xml:space="preserve">Track A: Use in Commerce</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The application receives a serial number and appears in the USPTO’s Trademark Status and Document Retrieval (TSDR) system.</w:t>
      </w:r>
    </w:p>
    <w:p>
      <w:pPr>
        <w:pStyle w:val="ListParagraph"/>
        <w:numPr>
          <w:ilvl w:val="0"/>
          <w:numId w:val="1"/>
        </w:numPr>
        <w:spacing w:after="140" w:line="276"/>
      </w:pPr>
      <w:r>
        <w:rPr>
          <w:rFonts w:ascii="Calibri" w:cs="Calibri" w:eastAsia="Calibri" w:hAnsi="Calibri"/>
          <w:sz w:val="21"/>
          <w:szCs w:val="21"/>
        </w:rPr>
        <w:t xml:space="preserve">Examination: A USPTO examining attorney reviews the application to determine whether federal law permits registration. If an issue is identified, the USPTO may issue an Office Action. Office Action response work is separate from the Search and File package unless otherwise agreed in writing.</w:t>
      </w:r>
    </w:p>
    <w:p>
      <w:pPr>
        <w:pStyle w:val="ListParagraph"/>
        <w:numPr>
          <w:ilvl w:val="0"/>
          <w:numId w:val="1"/>
        </w:numPr>
        <w:spacing w:after="140" w:line="276"/>
      </w:pPr>
      <w:r>
        <w:rPr>
          <w:rFonts w:ascii="Calibri" w:cs="Calibri" w:eastAsia="Calibri" w:hAnsi="Calibri"/>
          <w:sz w:val="21"/>
          <w:szCs w:val="21"/>
        </w:rPr>
        <w:t xml:space="preserve">Publication: If the examining attorney approves the application, the mark is generally published in the Official Gazette for a thirty (30) day period during which third parties may oppose registration.</w:t>
      </w:r>
    </w:p>
    <w:p>
      <w:pPr>
        <w:pStyle w:val="ListParagraph"/>
        <w:numPr>
          <w:ilvl w:val="0"/>
          <w:numId w:val="1"/>
        </w:numPr>
        <w:spacing w:after="140" w:line="276"/>
      </w:pPr>
      <w:r>
        <w:rPr>
          <w:rFonts w:ascii="Calibri" w:cs="Calibri" w:eastAsia="Calibri" w:hAnsi="Calibri"/>
          <w:sz w:val="21"/>
          <w:szCs w:val="21"/>
        </w:rPr>
        <w:t xml:space="preserve">Registration: If no opposition prevents registration and the application satisfies the applicable requirements, the mark proceeds to registration and the USPTO issues a registration certificate.</w:t>
      </w:r>
    </w:p>
    <w:p>
      <w:pPr>
        <w:spacing w:after="140" w:line="276"/>
      </w:pPr>
      <w:r>
        <w:rPr>
          <w:rFonts w:ascii="Calibri" w:cs="Calibri" w:eastAsia="Calibri" w:hAnsi="Calibri"/>
          <w:sz w:val="21"/>
          <w:szCs w:val="21"/>
        </w:rPr>
        <w:t xml:space="preserve">Track B: Intent to Use</w:t>
      </w:r>
    </w:p>
    <w:p>
      <w:pPr>
        <w:pStyle w:val="ListParagraph"/>
        <w:numPr>
          <w:ilvl w:val="0"/>
          <w:numId w:val="1"/>
        </w:numPr>
        <w:spacing w:after="140" w:line="276"/>
      </w:pPr>
      <w:r>
        <w:rPr>
          <w:rFonts w:ascii="Calibri" w:cs="Calibri" w:eastAsia="Calibri" w:hAnsi="Calibri"/>
          <w:sz w:val="21"/>
          <w:szCs w:val="21"/>
        </w:rPr>
        <w:t xml:space="preserve">Filing: Attorney files the application with the USPTO and it receives a serial number.</w:t>
      </w:r>
    </w:p>
    <w:p>
      <w:pPr>
        <w:pStyle w:val="ListParagraph"/>
        <w:numPr>
          <w:ilvl w:val="0"/>
          <w:numId w:val="1"/>
        </w:numPr>
        <w:spacing w:after="140" w:line="276"/>
      </w:pPr>
      <w:r>
        <w:rPr>
          <w:rFonts w:ascii="Calibri" w:cs="Calibri" w:eastAsia="Calibri" w:hAnsi="Calibri"/>
          <w:sz w:val="21"/>
          <w:szCs w:val="21"/>
        </w:rPr>
        <w:t xml:space="preserve">Examination: A USPTO examining attorney reviews the application. If an Office Action issues, any response is separately scoped and billed unless otherwise agreed.</w:t>
      </w:r>
    </w:p>
    <w:p>
      <w:pPr>
        <w:pStyle w:val="ListParagraph"/>
        <w:numPr>
          <w:ilvl w:val="0"/>
          <w:numId w:val="1"/>
        </w:numPr>
        <w:spacing w:after="140" w:line="276"/>
      </w:pPr>
      <w:r>
        <w:rPr>
          <w:rFonts w:ascii="Calibri" w:cs="Calibri" w:eastAsia="Calibri" w:hAnsi="Calibri"/>
          <w:sz w:val="21"/>
          <w:szCs w:val="21"/>
        </w:rPr>
        <w:t xml:space="preserve">Publication: If approved, the mark is generally published for a thirty (30) day opposition period.</w:t>
      </w:r>
    </w:p>
    <w:p>
      <w:pPr>
        <w:pStyle w:val="ListParagraph"/>
        <w:numPr>
          <w:ilvl w:val="0"/>
          <w:numId w:val="1"/>
        </w:numPr>
        <w:spacing w:after="140" w:line="276"/>
      </w:pPr>
      <w:r>
        <w:rPr>
          <w:rFonts w:ascii="Calibri" w:cs="Calibri" w:eastAsia="Calibri" w:hAnsi="Calibri"/>
          <w:sz w:val="21"/>
          <w:szCs w:val="21"/>
        </w:rPr>
        <w:t xml:space="preserve">Notice of Allowance: If no opposition prevents the application from proceeding, the USPTO issues a Notice of Allowance.</w:t>
      </w:r>
    </w:p>
    <w:p>
      <w:pPr>
        <w:pStyle w:val="ListParagraph"/>
        <w:numPr>
          <w:ilvl w:val="0"/>
          <w:numId w:val="1"/>
        </w:numPr>
        <w:spacing w:after="140" w:line="276"/>
      </w:pPr>
      <w:r>
        <w:rPr>
          <w:rFonts w:ascii="Calibri" w:cs="Calibri" w:eastAsia="Calibri" w:hAnsi="Calibri"/>
          <w:sz w:val="21"/>
          <w:szCs w:val="21"/>
        </w:rPr>
        <w:t xml:space="preserve">Statement of Use or Extension Request: Client must then timely submit qualifying evidence of use through a Statement of Use or request additional time through an Extension Request, as permitted by USPTO rules. These submissions and their government fees are separate from the Search and File fee.</w:t>
      </w:r>
    </w:p>
    <w:p>
      <w:pPr>
        <w:pStyle w:val="ListParagraph"/>
        <w:numPr>
          <w:ilvl w:val="0"/>
          <w:numId w:val="1"/>
        </w:numPr>
        <w:spacing w:after="140" w:line="276"/>
      </w:pPr>
      <w:r>
        <w:rPr>
          <w:rFonts w:ascii="Calibri" w:cs="Calibri" w:eastAsia="Calibri" w:hAnsi="Calibri"/>
          <w:sz w:val="21"/>
          <w:szCs w:val="21"/>
        </w:rPr>
        <w:t xml:space="preserve">Registration: Once the applicable use requirements are satisfied and accepted, the mark may proceed to registration.</w:t>
      </w:r>
    </w:p>
    <w:p>
      <w:pPr>
        <w:spacing w:after="140" w:line="276"/>
      </w:pPr>
      <w:r>
        <w:rPr>
          <w:rFonts w:ascii="Calibri" w:cs="Calibri" w:eastAsia="Calibri" w:hAnsi="Calibri"/>
          <w:sz w:val="21"/>
          <w:szCs w:val="21"/>
        </w:rPr>
        <w:t xml:space="preserve">Processing Time: USPTO processing times change. Attorney may provide Client with then-current published USPTO estimates during the representation. Any estimate is informational only. Office Actions, oppositions, requests for additional evidence, intent-to-use requirements, Client delay, or USPTO delay can extend the overall timeline.</w:t>
      </w:r>
    </w:p>
    <w:p>
      <w:pPr>
        <w:spacing w:after="140" w:line="276"/>
      </w:pPr>
      <w:r>
        <w:rPr>
          <w:rFonts w:ascii="Calibri" w:cs="Calibri" w:eastAsia="Calibri" w:hAnsi="Calibri"/>
          <w:sz w:val="21"/>
          <w:szCs w:val="21"/>
        </w:rPr>
        <w:t xml:space="preserve">Attorney makes no guarantee of registration or of any particular processing timeframe.</w:t>
      </w:r>
    </w:p>
    <w:p>
      <w:pPr>
        <w:spacing w:after="100" w:before="200"/>
      </w:pPr>
      <w:r>
        <w:rPr>
          <w:rFonts w:ascii="Calibri" w:cs="Calibri" w:eastAsia="Calibri" w:hAnsi="Calibri"/>
          <w:b/>
          <w:bCs/>
          <w:color w:val="1F3050"/>
          <w:sz w:val="22"/>
          <w:szCs w:val="22"/>
        </w:rPr>
        <w:t xml:space="preserve">Section 8. Client Responsibilities</w:t>
      </w:r>
    </w:p>
    <w:p>
      <w:pPr>
        <w:spacing w:after="140" w:line="276"/>
      </w:pPr>
      <w:r>
        <w:rPr>
          <w:rFonts w:ascii="Calibri" w:cs="Calibri" w:eastAsia="Calibri" w:hAnsi="Calibri"/>
          <w:sz w:val="21"/>
          <w:szCs w:val="21"/>
        </w:rPr>
        <w:t xml:space="preserve">General: Client agrees to be truthful with Attorney, to cooperate, to provide all factual and documentary evidence necessary for Attorney to perform the professional services, to abide by this Agreement and to keep Attorney advised of Client’s address, telephone number, and email address. In the event the Firm is unable to locate Client, the Firm may terminate all further representation of Client by sending an email to Client’s last known email address and filing all necessary documents to seek permission to withdraw from any formal representation.</w:t>
      </w:r>
    </w:p>
    <w:p>
      <w:pPr>
        <w:spacing w:after="140" w:line="276"/>
      </w:pPr>
      <w:r>
        <w:rPr>
          <w:rFonts w:ascii="Calibri" w:cs="Calibri" w:eastAsia="Calibri" w:hAnsi="Calibri"/>
          <w:sz w:val="21"/>
          <w:szCs w:val="21"/>
        </w:rPr>
        <w:t xml:space="preserve">Use of TM, SM, and R: Client may use the "TM" symbol for unregistered marks, slogans, or logos to claim ownership under common law (or the "SM" mark for services), even while an application is pending. In signing this Agreement, Client acknowledges that this denotation does not fully inoculate Client in the event someone else registers the mark, slogan, or logo first. Client also acknowledges that the registered symbol is legally restricted and may only be used after the United States Patent and Trademark Office (USPTO) officially registers Client’s trademark and issues a registration certificate. Improper use of the registered symbol may result in legal penalties and/or lawsuits, for which Client is wholly responsible. Representation of the Client regarding such matters is expressly excluded from Legal Services under this Agreement.</w:t>
      </w:r>
    </w:p>
    <w:p>
      <w:pPr>
        <w:spacing w:after="100" w:before="200"/>
      </w:pPr>
      <w:r>
        <w:rPr>
          <w:rFonts w:ascii="Calibri" w:cs="Calibri" w:eastAsia="Calibri" w:hAnsi="Calibri"/>
          <w:b/>
          <w:bCs/>
          <w:color w:val="1F3050"/>
          <w:sz w:val="22"/>
          <w:szCs w:val="22"/>
        </w:rPr>
        <w:t xml:space="preserve">Section 9. Business Hours and Communication Policies</w:t>
      </w:r>
    </w:p>
    <w:p>
      <w:pPr>
        <w:spacing w:after="140" w:line="276"/>
      </w:pPr>
      <w:r>
        <w:rPr>
          <w:rFonts w:ascii="Calibri" w:cs="Calibri" w:eastAsia="Calibri" w:hAnsi="Calibri"/>
          <w:sz w:val="21"/>
          <w:szCs w:val="21"/>
        </w:rPr>
        <w:t xml:space="preserve">Attorney’s business hours are Monday through Friday, 9:30 a.m. to 4:30 p.m. Central Time. Client will communicate with Attorney through email, telephone, or the Firm’s case-management portal. Social media is not an approved avenue for communications concerning Client’s legal matter.</w:t>
      </w:r>
    </w:p>
    <w:p>
      <w:pPr>
        <w:spacing w:after="140" w:line="276"/>
      </w:pPr>
      <w:r>
        <w:rPr>
          <w:rFonts w:ascii="Calibri" w:cs="Calibri" w:eastAsia="Calibri" w:hAnsi="Calibri"/>
          <w:sz w:val="21"/>
          <w:szCs w:val="21"/>
        </w:rPr>
        <w:t xml:space="preserve">When Attorney sends a material communication requiring Client action, Client will respond within ten (10) business days unless a different deadline is stated. Attorney may send a follow-up reminder and may suspend or terminate representation for material failure to communicate, subject to applicable professional obligations.</w:t>
      </w:r>
    </w:p>
    <w:p>
      <w:pPr>
        <w:spacing w:after="140" w:line="276"/>
      </w:pPr>
      <w:r>
        <w:rPr>
          <w:rFonts w:ascii="Calibri" w:cs="Calibri" w:eastAsia="Calibri" w:hAnsi="Calibri"/>
          <w:sz w:val="21"/>
          <w:szCs w:val="21"/>
        </w:rPr>
        <w:t xml:space="preserve">Client has ten (10) business days from delivery of a draft or deliverable to identify requested corrections or objections in writing. Silence does not authorize a filing where Client approval or verification is legally required.</w:t>
      </w:r>
    </w:p>
    <w:p>
      <w:pPr>
        <w:spacing w:after="100" w:before="200"/>
      </w:pPr>
      <w:r>
        <w:rPr>
          <w:rFonts w:ascii="Calibri" w:cs="Calibri" w:eastAsia="Calibri" w:hAnsi="Calibri"/>
          <w:b/>
          <w:bCs/>
          <w:color w:val="1F3050"/>
          <w:sz w:val="22"/>
          <w:szCs w:val="22"/>
        </w:rPr>
        <w:t xml:space="preserve">Section 10. Client-Provided Research and Artificial Intelligence (AI) Materials</w:t>
      </w:r>
    </w:p>
    <w:p>
      <w:pPr>
        <w:spacing w:after="140" w:line="276"/>
      </w:pPr>
      <w:r>
        <w:rPr>
          <w:rFonts w:ascii="Calibri" w:cs="Calibri" w:eastAsia="Calibri" w:hAnsi="Calibri"/>
          <w:sz w:val="21"/>
          <w:szCs w:val="21"/>
        </w:rPr>
        <w:t xml:space="preserve">Review of client-supplied research, internet materials, social media content, or artificial intelligence-generated information is outside the defined scope of legal services described in this Agreement unless Attorney determines such review is reasonably necessary to advance Client’s legal objectives. Any review, analysis, verification, or response to such materials will be undertaken solely at Attorney’s discretion and will constitute billable legal work. Such time will be billed at Attorney’s standard hourly rate or, in flat-fee matters, as an additional fee separate from and not included in the flat fee. Attorney is not obligated to advance arguments, cite authorities, or incorporate materials that Attorney determines to be inaccurate, unsupported, strategically unsound, or inconsistent with applicable law or ethical obligations.</w:t>
      </w:r>
    </w:p>
    <w:p>
      <w:pPr>
        <w:spacing w:after="140" w:line="276"/>
      </w:pPr>
      <w:r>
        <w:rPr>
          <w:rFonts w:ascii="Calibri" w:cs="Calibri" w:eastAsia="Calibri" w:hAnsi="Calibri"/>
          <w:sz w:val="21"/>
          <w:szCs w:val="21"/>
        </w:rPr>
        <w:t xml:space="preserve">WARNING: use of AI and search engine prompts and queries related to your matter may constitute waiver of attorney-client privilege and confidentiality of such information and documents, which may be discoverable and used against you. AI and search engines are not attorneys and may not owe you any duty of confidentiality or privilege protections.</w:t>
      </w:r>
    </w:p>
    <w:p>
      <w:pPr>
        <w:spacing w:after="100" w:before="200"/>
      </w:pPr>
      <w:r>
        <w:rPr>
          <w:rFonts w:ascii="Calibri" w:cs="Calibri" w:eastAsia="Calibri" w:hAnsi="Calibri"/>
          <w:b/>
          <w:bCs/>
          <w:color w:val="1F3050"/>
          <w:sz w:val="22"/>
          <w:szCs w:val="22"/>
        </w:rPr>
        <w:t xml:space="preserve">Section 11. Authority Power of Attorney</w:t>
      </w:r>
    </w:p>
    <w:p>
      <w:pPr>
        <w:spacing w:after="140" w:line="276"/>
      </w:pPr>
      <w:r>
        <w:rPr>
          <w:rFonts w:ascii="Calibri" w:cs="Calibri" w:eastAsia="Calibri" w:hAnsi="Calibri"/>
          <w:sz w:val="21"/>
          <w:szCs w:val="21"/>
        </w:rPr>
        <w:t xml:space="preserve">Client authorizes Jennifer N. Brantley, Esq. and J Brantley Law, PLLC to act as counsel within the scope of this engagement and to submit documents authorized by Client or otherwise permitted by applicable USPTO rules and professional obligations. Attorney will not make material factual certifications on Client’s behalf without appropriate Client authorization.</w:t>
      </w:r>
    </w:p>
    <w:p>
      <w:pPr>
        <w:spacing w:after="100" w:before="200"/>
      </w:pPr>
      <w:r>
        <w:rPr>
          <w:rFonts w:ascii="Calibri" w:cs="Calibri" w:eastAsia="Calibri" w:hAnsi="Calibri"/>
          <w:b/>
          <w:bCs/>
          <w:color w:val="1F3050"/>
          <w:sz w:val="22"/>
          <w:szCs w:val="22"/>
        </w:rPr>
        <w:t xml:space="preserve">Section 12. USPTO Fees and Government Costs</w:t>
      </w:r>
    </w:p>
    <w:p>
      <w:pPr>
        <w:spacing w:after="140" w:line="276"/>
      </w:pPr>
      <w:r>
        <w:rPr>
          <w:rFonts w:ascii="Calibri" w:cs="Calibri" w:eastAsia="Calibri" w:hAnsi="Calibri"/>
          <w:sz w:val="21"/>
          <w:szCs w:val="21"/>
        </w:rPr>
        <w:t xml:space="preserve">USPTO filing and other government fees are separate costs and are not included in Attorney’s fees unless expressly stated. Government fees may change during the representation. Client is responsible for the fee in effect when the applicable filing is made.</w:t>
      </w:r>
    </w:p>
    <w:p>
      <w:pPr>
        <w:spacing w:after="100" w:before="200"/>
      </w:pPr>
      <w:r>
        <w:rPr>
          <w:rFonts w:ascii="Calibri" w:cs="Calibri" w:eastAsia="Calibri" w:hAnsi="Calibri"/>
          <w:b/>
          <w:bCs/>
          <w:color w:val="1F3050"/>
          <w:sz w:val="22"/>
          <w:szCs w:val="22"/>
        </w:rPr>
        <w:t xml:space="preserve">Section 13. Conflicts, Confidentiality, and Insurance</w:t>
      </w:r>
    </w:p>
    <w:p>
      <w:pPr>
        <w:spacing w:after="140" w:line="276"/>
      </w:pPr>
      <w:r>
        <w:rPr>
          <w:rFonts w:ascii="Calibri" w:cs="Calibri" w:eastAsia="Calibri" w:hAnsi="Calibri"/>
          <w:sz w:val="21"/>
          <w:szCs w:val="21"/>
        </w:rPr>
        <w:t xml:space="preserve">Attorney will maintain Client confidences and address conflicts of interest in accordance with applicable professional-conduct rules. Attorney maintains professional liability insurance.</w:t>
      </w:r>
    </w:p>
    <w:p>
      <w:pPr>
        <w:spacing w:after="100" w:before="200"/>
      </w:pPr>
      <w:r>
        <w:rPr>
          <w:rFonts w:ascii="Calibri" w:cs="Calibri" w:eastAsia="Calibri" w:hAnsi="Calibri"/>
          <w:b/>
          <w:bCs/>
          <w:color w:val="1F3050"/>
          <w:sz w:val="22"/>
          <w:szCs w:val="22"/>
        </w:rPr>
        <w:t xml:space="preserve">Section 14. No Guarantee of Outcome or Estimates</w:t>
      </w:r>
    </w:p>
    <w:p>
      <w:pPr>
        <w:spacing w:after="140" w:line="276"/>
      </w:pPr>
      <w:r>
        <w:rPr>
          <w:rFonts w:ascii="Calibri" w:cs="Calibri" w:eastAsia="Calibri" w:hAnsi="Calibri"/>
          <w:sz w:val="21"/>
          <w:szCs w:val="21"/>
        </w:rPr>
        <w:t xml:space="preserve">Nothing in this Agreement or Attorney’s statements to Clients shall be construed as a promise or guarantee regarding trademark registration or about the outcome of the matter. Any estimate of fees or costs given by Attorney or non-attorney staff shall not be considered a guarantee. Client understands this is an application process which could result in denial of the Client’s trademark. Client further understands that if Client does not timely pay Client’s invoice for either the statement of use or extension request by invoice deadline Client’s trademark will abandon at no fault to Attorney and Client will have to pay additional fees to reinstate Client’s application.</w:t>
      </w:r>
    </w:p>
    <w:p>
      <w:pPr>
        <w:spacing w:after="100" w:before="200"/>
      </w:pPr>
      <w:r>
        <w:rPr>
          <w:rFonts w:ascii="Calibri" w:cs="Calibri" w:eastAsia="Calibri" w:hAnsi="Calibri"/>
          <w:b/>
          <w:bCs/>
          <w:color w:val="1F3050"/>
          <w:sz w:val="22"/>
          <w:szCs w:val="22"/>
        </w:rPr>
        <w:t xml:space="preserve">Section 15. Termination of Representation</w:t>
      </w:r>
    </w:p>
    <w:p>
      <w:pPr>
        <w:spacing w:after="140" w:line="276"/>
      </w:pPr>
      <w:r>
        <w:rPr>
          <w:rFonts w:ascii="Calibri" w:cs="Calibri" w:eastAsia="Calibri" w:hAnsi="Calibri"/>
          <w:sz w:val="21"/>
          <w:szCs w:val="21"/>
        </w:rPr>
        <w:t xml:space="preserve">Either Attorney or Client may terminate this engagement upon written notice, subject to Attorney’s professional obligations and any USPTO requirements applicable to withdrawal. Client remains responsible for fees earned and costs incurred through termination. Unearned advance funds will be returned as required by applicable law and professional-conduct rules.</w:t>
      </w:r>
    </w:p>
    <w:p>
      <w:pPr>
        <w:spacing w:after="100" w:before="200"/>
      </w:pPr>
      <w:r>
        <w:rPr>
          <w:rFonts w:ascii="Calibri" w:cs="Calibri" w:eastAsia="Calibri" w:hAnsi="Calibri"/>
          <w:b/>
          <w:bCs/>
          <w:color w:val="1F3050"/>
          <w:sz w:val="22"/>
          <w:szCs w:val="22"/>
        </w:rPr>
        <w:t xml:space="preserve">Section 16. Electronic Communications and Delivery Consent</w:t>
      </w:r>
    </w:p>
    <w:p>
      <w:pPr>
        <w:spacing w:after="140" w:line="276"/>
      </w:pPr>
      <w:r>
        <w:rPr>
          <w:rFonts w:ascii="Calibri" w:cs="Calibri" w:eastAsia="Calibri" w:hAnsi="Calibri"/>
          <w:sz w:val="21"/>
          <w:szCs w:val="21"/>
        </w:rPr>
        <w:t xml:space="preserve">Client consents to receive this Agreement, invoices, drafts, USPTO correspondence, deliverables, and other communications electronically through the email address or client portal on file. Client must promptly notify Attorney of any change to Client’s contact information.</w:t>
      </w:r>
    </w:p>
    <w:p>
      <w:pPr>
        <w:spacing w:after="100" w:before="200"/>
      </w:pPr>
      <w:r>
        <w:rPr>
          <w:rFonts w:ascii="Calibri" w:cs="Calibri" w:eastAsia="Calibri" w:hAnsi="Calibri"/>
          <w:b/>
          <w:bCs/>
          <w:color w:val="1F3050"/>
          <w:sz w:val="22"/>
          <w:szCs w:val="22"/>
        </w:rPr>
        <w:t xml:space="preserve">Section 17. Governing Law and Dispute Resolution</w:t>
      </w:r>
    </w:p>
    <w:p>
      <w:pPr>
        <w:spacing w:after="140" w:line="276"/>
      </w:pPr>
      <w:r>
        <w:rPr>
          <w:rFonts w:ascii="Calibri" w:cs="Calibri" w:eastAsia="Calibri" w:hAnsi="Calibri"/>
          <w:sz w:val="21"/>
          <w:szCs w:val="21"/>
        </w:rPr>
        <w:t xml:space="preserve">This Agreement is governed by the laws of the State of Texas, except to the extent another jurisdiction’s mandatory law or professional-conduct rules apply.</w:t>
      </w:r>
    </w:p>
    <w:p>
      <w:pPr>
        <w:spacing w:after="100" w:before="200"/>
      </w:pPr>
      <w:r>
        <w:rPr>
          <w:rFonts w:ascii="Calibri" w:cs="Calibri" w:eastAsia="Calibri" w:hAnsi="Calibri"/>
          <w:b/>
          <w:bCs/>
          <w:color w:val="1F3050"/>
          <w:sz w:val="22"/>
          <w:szCs w:val="22"/>
        </w:rPr>
        <w:t xml:space="preserve">Section 18. Publicity</w:t>
      </w:r>
    </w:p>
    <w:p>
      <w:pPr>
        <w:spacing w:after="140" w:line="276"/>
      </w:pPr>
      <w:r>
        <w:rPr>
          <w:rFonts w:ascii="Calibri" w:cs="Calibri" w:eastAsia="Calibri" w:hAnsi="Calibri"/>
          <w:sz w:val="21"/>
          <w:szCs w:val="21"/>
        </w:rPr>
        <w:t xml:space="preserve">Publicity and Marketing Consent (Optional): Client’s consent to publicity is entirely optional and is not a condition of representation. Unless Client affirmatively opts in below, the Firm will not identify Client or use Client’s name, registration certificate, testimonial, outcome, or case description for marketing or business-development purposes, except as otherwise permitted by applicable law and professional-conduct rules.</w:t>
      </w:r>
    </w:p>
    <w:p>
      <w:pPr>
        <w:spacing w:after="60" w:before="100"/>
      </w:pPr>
      <w:r>
        <w:rPr>
          <w:rFonts w:ascii="Calibri" w:cs="Calibri" w:eastAsia="Calibri" w:hAnsi="Calibri"/>
          <w:sz w:val="21"/>
          <w:szCs w:val="21"/>
        </w:rPr>
        <w:t xml:space="preserve">☐  </w:t>
      </w:r>
      <w:r>
        <w:rPr>
          <w:rFonts w:ascii="Calibri" w:cs="Calibri" w:eastAsia="Calibri" w:hAnsi="Calibri"/>
          <w:sz w:val="21"/>
          <w:szCs w:val="21"/>
        </w:rPr>
        <w:t xml:space="preserve">I OPT IN. I authorize J Brantley Law, PLLC to identify me and/or my company as a client and to share non-confidential information about the Firm’s work on this trademark matter, including registration certificates, outcomes, and general case descriptions, for the Firm’s marketing and business-development purposes. I understand that I may revoke this consent prospectively at any time by written notice to the Firm.</w:t>
      </w:r>
    </w:p>
    <w:p>
      <w:pPr>
        <w:spacing w:after="100" w:before="200"/>
      </w:pPr>
      <w:r>
        <w:rPr>
          <w:rFonts w:ascii="Calibri" w:cs="Calibri" w:eastAsia="Calibri" w:hAnsi="Calibri"/>
          <w:b/>
          <w:bCs/>
          <w:color w:val="1F3050"/>
          <w:sz w:val="22"/>
          <w:szCs w:val="22"/>
        </w:rPr>
        <w:t xml:space="preserve">Section 19. Entire Agreement</w:t>
      </w:r>
    </w:p>
    <w:p>
      <w:pPr>
        <w:spacing w:after="140" w:line="276"/>
      </w:pPr>
      <w:r>
        <w:rPr>
          <w:rFonts w:ascii="Calibri" w:cs="Calibri" w:eastAsia="Calibri" w:hAnsi="Calibri"/>
          <w:sz w:val="21"/>
          <w:szCs w:val="21"/>
        </w:rPr>
        <w:t xml:space="preserve">This Agreement constitutes the entire agreement between Attorney and Client regarding the services described and supersedes prior discussions or understandings concerning that scope. Additional services or amendments must be confirmed in writing.</w:t>
      </w:r>
    </w:p>
    <w:p>
      <w:pPr>
        <w:spacing w:after="140" w:line="276"/>
      </w:pPr>
      <w:r>
        <w:rPr>
          <w:rFonts w:ascii="Calibri" w:cs="Calibri" w:eastAsia="Calibri" w:hAnsi="Calibri"/>
          <w:sz w:val="21"/>
          <w:szCs w:val="21"/>
        </w:rPr>
        <w:t xml:space="preserve">By signing below, Client confirms the elections above and agrees to the terms of this Agreement.</w:t>
      </w:r>
    </w:p>
    <w:p>
      <w:pPr>
        <w:spacing w:after="100" w:before="200"/>
      </w:pPr>
      <w:r>
        <w:rPr>
          <w:rFonts w:ascii="Calibri" w:cs="Calibri" w:eastAsia="Calibri" w:hAnsi="Calibri"/>
          <w:b/>
          <w:bCs/>
          <w:color w:val="1F3050"/>
          <w:sz w:val="22"/>
          <w:szCs w:val="22"/>
        </w:rPr>
        <w:t xml:space="preserve">Signatures</w:t>
      </w:r>
    </w:p>
    <w:p>
      <w:pPr>
        <w:spacing w:after="140" w:line="276"/>
      </w:pPr>
      <w:r>
        <w:rPr>
          <w:rFonts w:ascii="Calibri" w:cs="Calibri" w:eastAsia="Calibri" w:hAnsi="Calibri"/>
          <w:b/>
          <w:bCs/>
          <w:sz w:val="21"/>
          <w:szCs w:val="21"/>
        </w:rPr>
        <w:t xml:space="preserve">Client:</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Client Signature                                             Date</w:t>
      </w:r>
    </w:p>
    <w:p>
      <w:pPr>
        <w:spacing w:after="140" w:line="276"/>
      </w:pPr>
      <w:r>
        <w:rPr>
          <w:rFonts w:ascii="Calibri" w:cs="Calibri" w:eastAsia="Calibri" w:hAnsi="Calibri"/>
          <w:sz w:val="21"/>
          <w:szCs w:val="21"/>
        </w:rPr>
        <w:t xml:space="preserve">Printed Name: [Client Name]</w:t>
      </w:r>
    </w:p>
    <w:p>
      <w:pPr>
        <w:spacing w:after="140" w:line="276"/>
      </w:pPr>
      <w:r>
        <w:rPr>
          <w:rFonts w:ascii="Calibri" w:cs="Calibri" w:eastAsia="Calibri" w:hAnsi="Calibri"/>
          <w:b/>
          <w:bCs/>
          <w:sz w:val="21"/>
          <w:szCs w:val="21"/>
        </w:rPr>
        <w:t xml:space="preserve">Attorney:</w:t>
      </w:r>
    </w:p>
    <w:p>
      <w:pPr>
        <w:pBdr>
          <w:bottom w:val="single" w:color="999999" w:sz="4"/>
        </w:pBdr>
        <w:spacing w:after="40" w:before="400"/>
      </w:pPr>
      <w:r>
        <w:rPr>
          <w:sz w:val="21"/>
          <w:szCs w:val="21"/>
        </w:rPr>
        <w:t xml:space="preserve"> </w:t>
      </w:r>
    </w:p>
    <w:p>
      <w:pPr>
        <w:spacing w:after="200"/>
      </w:pPr>
      <w:r>
        <w:rPr>
          <w:rFonts w:ascii="Calibri" w:cs="Calibri" w:eastAsia="Calibri" w:hAnsi="Calibri"/>
          <w:color w:val="666666"/>
          <w:sz w:val="18"/>
          <w:szCs w:val="18"/>
        </w:rPr>
        <w:t xml:space="preserve">Attorney Signature                                             Date</w:t>
      </w:r>
    </w:p>
    <w:p>
      <w:pPr>
        <w:spacing w:after="140" w:line="276"/>
      </w:pPr>
      <w:r>
        <w:rPr>
          <w:rFonts w:ascii="Calibri" w:cs="Calibri" w:eastAsia="Calibri" w:hAnsi="Calibri"/>
          <w:sz w:val="21"/>
          <w:szCs w:val="21"/>
        </w:rPr>
        <w:t xml:space="preserve">Jennifer N. Brantley, Esq., J Brantley Law, PLLC</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2026-10-08T01:55:35.757Z</dcterms:created>
  <dcterms:modified xsi:type="dcterms:W3CDTF">2026-10-08T01:55:35.757Z</dcterms:modified>
</cp:coreProperties>
</file>

<file path=docProps/custom.xml><?xml version="1.0" encoding="utf-8"?>
<Properties xmlns="http://schemas.openxmlformats.org/officeDocument/2006/custom-properties" xmlns:vt="http://schemas.openxmlformats.org/officeDocument/2006/docPropsVTypes"/>
</file>