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spacing w:after="120" w:before="280"/>
      </w:pPr>
      <w:r>
        <w:rPr>
          <w:rFonts w:ascii="Georgia" w:cs="Georgia" w:eastAsia="Georgia" w:hAnsi="Georgia"/>
          <w:b/>
          <w:bCs/>
          <w:color w:val="1F3050"/>
          <w:sz w:val="24"/>
          <w:szCs w:val="24"/>
        </w:rPr>
        <w:t xml:space="preserve">Trademark Engagement Agreement — Search and File</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40" w:line="276"/>
      </w:pPr>
      <w:r>
        <w:rPr>
          <w:rFonts w:ascii="Calibri" w:cs="Calibri" w:eastAsia="Calibri" w:hAnsi="Calibri"/>
          <w:sz w:val="21"/>
          <w:szCs w:val="21"/>
        </w:rPr>
        <w:t xml:space="preserve">Thank you for choosing J Brantley Law, PLLC for representation in the matters described below. This letter sets forth the terms of engagement between the Firm and Client, in their individual capacity or as the Authorized Representative for the Company identified above ("Client"), regarding trademark registration services for {{answers.mark_name}} (the "Proposed Mark"). This proposal expires seven (7) business days from the date of issuance.</w:t>
      </w:r>
    </w:p>
    <w:p>
      <w:pPr>
        <w:spacing w:after="100" w:before="200"/>
      </w:pPr>
      <w:r>
        <w:rPr>
          <w:rFonts w:ascii="Calibri" w:cs="Calibri" w:eastAsia="Calibri" w:hAnsi="Calibri"/>
          <w:b/>
          <w:bCs/>
          <w:color w:val="1F3050"/>
          <w:sz w:val="22"/>
          <w:szCs w:val="22"/>
        </w:rPr>
        <w:t xml:space="preserve">Section 1. Scope of Representation</w:t>
      </w:r>
    </w:p>
    <w:p>
      <w:pPr>
        <w:spacing w:after="140" w:line="276"/>
      </w:pPr>
      <w:r>
        <w:rPr>
          <w:rFonts w:ascii="Calibri" w:cs="Calibri" w:eastAsia="Calibri" w:hAnsi="Calibri"/>
          <w:sz w:val="21"/>
          <w:szCs w:val="21"/>
        </w:rPr>
        <w:t xml:space="preserve">This engagement is limited to the services elected below. No other services are included in this engagement unless set forth in a separate written agreement signed by Attorney and Client.</w:t>
      </w:r>
    </w:p>
    <w:p>
      <w:pPr>
        <w:spacing w:after="140" w:line="276"/>
      </w:pPr>
      <w:r>
        <w:rPr>
          <w:rFonts w:ascii="Calibri" w:cs="Calibri" w:eastAsia="Calibri" w:hAnsi="Calibri"/>
          <w:sz w:val="21"/>
          <w:szCs w:val="21"/>
        </w:rPr>
        <w:t xml:space="preserve">The following are outside the scope of this engagement unless separately elected in writing: application tiers or classes not elected in this agreement, trademark litigation, opposition, or cancellation proceedings; patent prosecution, including design patents; copyright registration; state trademark filings; international or Madrid Protocol filings; and any matter not expressly described and elected in Section 2, below.</w:t>
      </w:r>
    </w:p>
    <w:p>
      <w:pPr>
        <w:spacing w:after="140" w:line="276"/>
      </w:pPr>
      <w:r>
        <w:rPr>
          <w:rFonts w:ascii="Calibri" w:cs="Calibri" w:eastAsia="Calibri" w:hAnsi="Calibri"/>
          <w:sz w:val="21"/>
          <w:szCs w:val="21"/>
        </w:rPr>
        <w:t xml:space="preserve">Client’s driver’s license number and state of issuance, provided in connection with the authorization granted below in the Authority / Power of Attorney section of this Agreement: {{answers.drivers_license}}.</w:t>
      </w:r>
    </w:p>
    <w:p>
      <w:pPr>
        <w:spacing w:after="100" w:before="200"/>
      </w:pPr>
      <w:r>
        <w:rPr>
          <w:rFonts w:ascii="Calibri" w:cs="Calibri" w:eastAsia="Calibri" w:hAnsi="Calibri"/>
          <w:b/>
          <w:bCs/>
          <w:color w:val="1F3050"/>
          <w:sz w:val="22"/>
          <w:szCs w:val="22"/>
        </w:rPr>
        <w:t xml:space="preserve">Section 2. Trademark Services and Fee Election</w:t>
      </w:r>
    </w:p>
    <w:p>
      <w:pPr>
        <w:spacing w:after="140" w:line="276"/>
      </w:pPr>
      <w:r>
        <w:rPr>
          <w:rFonts w:ascii="Calibri" w:cs="Calibri" w:eastAsia="Calibri" w:hAnsi="Calibri"/>
          <w:sz w:val="21"/>
          <w:szCs w:val="21"/>
        </w:rPr>
        <w:t xml:space="preserve">Client may elect one of the following services for the Proposed Mark. The fees displayed reflect attorney fees for one (1) mark in one (1) class unless otherwise stated. USPTO government fees are separate.</w:t>
      </w:r>
    </w:p>
    <w:p>
      <w:pPr>
        <w:spacing w:after="140" w:line="276"/>
      </w:pPr>
      <w:r>
        <w:rPr>
          <w:rFonts w:ascii="Calibri" w:cs="Calibri" w:eastAsia="Calibri" w:hAnsi="Calibri"/>
          <w:sz w:val="21"/>
          <w:szCs w:val="21"/>
        </w:rPr>
        <w:t xml:space="preserve">Search and File: Search and File includes Search and Clear, plus filing strategy; review of ownership, filing basis, goods/services, classification, and specimen(s) as applicable; preparation of one federal trademark application in one class; one pre-filing revision; filing with the USPTO; Attorney’s appearance as counsel of record; docketing and routine status monitoring; and reporting routine USPTO correspondence. Also includes three (3) months of post-registration monitoring. Office Action responses, Statements of Use, Extension Requests, TTAB matters, and other substantive post-filing work are separate unless expressly included by written addendum. The USPTO filing fee of $350.00 per class (as of August 2026) is a separate government cost paid directly to the USPTO and is not included in the Attorney fee. Attorney fee: $2,000.00 + USPTO filing fee (separate government cost).</w:t>
      </w:r>
    </w:p>
    <w:p>
      <w:pPr>
        <w:spacing w:after="100" w:before="200"/>
      </w:pPr>
      <w:r>
        <w:rPr>
          <w:rFonts w:ascii="Calibri" w:cs="Calibri" w:eastAsia="Calibri" w:hAnsi="Calibri"/>
          <w:b/>
          <w:bCs/>
          <w:color w:val="1F3050"/>
          <w:sz w:val="22"/>
          <w:szCs w:val="22"/>
        </w:rPr>
        <w:t xml:space="preserve">Section 3. Multiple Marks/Trademark Portfolio Pricing</w:t>
      </w:r>
    </w:p>
    <w:p>
      <w:pPr>
        <w:spacing w:after="140" w:line="276"/>
      </w:pPr>
      <w:r>
        <w:rPr>
          <w:rFonts w:ascii="Calibri" w:cs="Calibri" w:eastAsia="Calibri" w:hAnsi="Calibri"/>
          <w:sz w:val="21"/>
          <w:szCs w:val="21"/>
        </w:rPr>
        <w:t xml:space="preserve">The Search and File fee covers one (1) Proposed Mark. Each additional mark generally requires a separate clearance analysis and separate federal trademark application.</w:t>
      </w:r>
    </w:p>
    <w:p>
      <w:pPr>
        <w:spacing w:after="140" w:line="276"/>
      </w:pPr>
      <w:r>
        <w:rPr>
          <w:rFonts w:ascii="Calibri" w:cs="Calibri" w:eastAsia="Calibri" w:hAnsi="Calibri"/>
          <w:sz w:val="21"/>
          <w:szCs w:val="21"/>
        </w:rPr>
        <w:t xml:space="preserve">Where Client engages Attorney at the same time to clear and file multiple related marks owned by the same applicant and covering substantially similar goods or services, the first mark will be billed at the standard $2,000.00 Search and File attorney fee and each additional qualifying related mark will be billed at $1,500.00 in attorney fees for one (1) class, plus the applicable USPTO government fee for each separate application.</w:t>
      </w:r>
    </w:p>
    <w:p>
      <w:pPr>
        <w:spacing w:after="140" w:line="276"/>
      </w:pPr>
      <w:r>
        <w:rPr>
          <w:rFonts w:ascii="Calibri" w:cs="Calibri" w:eastAsia="Calibri" w:hAnsi="Calibri"/>
          <w:sz w:val="21"/>
          <w:szCs w:val="21"/>
        </w:rPr>
        <w:t xml:space="preserve">For Search and Clear only, the first related mark is $650.00 and each additional qualifying related mark searched concurrently is $500.00. If Client timely upgrades all qualifying marks to Search and File within sixty (60) days, the clearance fees paid for those marks will be credited toward the corresponding portfolio filing fees.</w:t>
      </w:r>
    </w:p>
    <w:p>
      <w:pPr>
        <w:spacing w:after="140" w:line="276"/>
      </w:pPr>
      <w:r>
        <w:rPr>
          <w:rFonts w:ascii="Calibri" w:cs="Calibri" w:eastAsia="Calibri" w:hAnsi="Calibri"/>
          <w:sz w:val="21"/>
          <w:szCs w:val="21"/>
        </w:rPr>
        <w:t xml:space="preserve">The multiple-mark rate applies only where the marks are submitted as part of the same engagement and sufficient overlap creates efficiencies in clearance, classification, and application preparation. Attorney determines whether proposed marks qualify. Unrelated marks, materially different goods or services, different owners/applicants, or marks submitted after work has substantially commenced may be quoted separately at the then-current rate.</w:t>
      </w:r>
    </w:p>
    <w:p>
      <w:pPr>
        <w:spacing w:after="140" w:line="276"/>
      </w:pPr>
      <w:r>
        <w:rPr>
          <w:rFonts w:ascii="Calibri" w:cs="Calibri" w:eastAsia="Calibri" w:hAnsi="Calibri"/>
          <w:sz w:val="21"/>
          <w:szCs w:val="21"/>
        </w:rPr>
        <w:t xml:space="preserve">Portfolio pricing for more than one mark is arranged directly with the firm and is not available through this online intake, which covers one Proposed Mark per submission.</w:t>
      </w:r>
    </w:p>
    <w:p>
      <w:pPr>
        <w:spacing w:after="100" w:before="200"/>
      </w:pPr>
      <w:r>
        <w:rPr>
          <w:rFonts w:ascii="Calibri" w:cs="Calibri" w:eastAsia="Calibri" w:hAnsi="Calibri"/>
          <w:b/>
          <w:bCs/>
          <w:color w:val="1F3050"/>
          <w:sz w:val="22"/>
          <w:szCs w:val="22"/>
        </w:rPr>
        <w:t xml:space="preserve">Section 4. Filing Basis and Intent-to-Use Applications</w:t>
      </w:r>
    </w:p>
    <w:p>
      <w:pPr>
        <w:spacing w:after="140" w:line="276"/>
      </w:pPr>
      <w:r>
        <w:rPr>
          <w:rFonts w:ascii="Calibri" w:cs="Calibri" w:eastAsia="Calibri" w:hAnsi="Calibri"/>
          <w:sz w:val="21"/>
          <w:szCs w:val="21"/>
        </w:rPr>
        <w:t xml:space="preserve">The $2,000.00 Search and File fee applies to preparation and filing of the initial application whether the filing basis is "use in commerce" (Track A) or "intent to use" (Track B). For a Track B application, later Statements of Use and Extension Requests are not included in the Search and File fee and will be separately billed when required, together with applicable USPTO government fees.</w:t>
      </w:r>
    </w:p>
    <w:p>
      <w:pPr>
        <w:spacing w:after="140" w:line="276"/>
      </w:pPr>
      <w:r>
        <w:rPr>
          <w:rFonts w:ascii="Calibri" w:cs="Calibri" w:eastAsia="Calibri" w:hAnsi="Calibri"/>
          <w:sz w:val="21"/>
          <w:szCs w:val="21"/>
        </w:rPr>
        <w:t xml:space="preserve">Filing basis will be confirmed at intake based on Client’s actual use status as of the filing date.</w:t>
      </w:r>
    </w:p>
    <w:p>
      <w:pPr>
        <w:spacing w:after="100" w:before="200"/>
      </w:pPr>
      <w:r>
        <w:rPr>
          <w:rFonts w:ascii="Calibri" w:cs="Calibri" w:eastAsia="Calibri" w:hAnsi="Calibri"/>
          <w:b/>
          <w:bCs/>
          <w:color w:val="1F3050"/>
          <w:sz w:val="22"/>
          <w:szCs w:val="22"/>
        </w:rPr>
        <w:t xml:space="preserve">Section 5. Additional and Post-Filing Services</w:t>
      </w:r>
    </w:p>
    <w:p>
      <w:pPr>
        <w:spacing w:after="140" w:line="276"/>
      </w:pPr>
      <w:r>
        <w:rPr>
          <w:rFonts w:ascii="Calibri" w:cs="Calibri" w:eastAsia="Calibri" w:hAnsi="Calibri"/>
          <w:sz w:val="21"/>
          <w:szCs w:val="21"/>
        </w:rPr>
        <w:t xml:space="preserve">The following services are outside the elected tier unless separately elected in writing.</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Non-substantive / procedural Office Action response: $500.00 per response.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Substantive Office Action response: starting at $850.00, quoted based on complexity. A substantive response may exceed this starting fee where the refusal involves multiple cited registrations, extensive legal research, significant evidentiary development, a final refusal, or unusual complexity.</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Final, complex, or unusually research-intensive Office Action: separate written quote / engagement.</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Statement of Use: separately quoted when required, plus the applicable USPTO fee.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Extension Request for an intent-to-use application: separately quoted when required, plus the applicable USPTO fee.</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Amendment to an existing pro se filing: $850.00 per amendment, subject to file review.</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Additional class in the same application: $400.00 per class plus the applicable USPTO fee; complex multiclass matters may be separately quoted.</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Trademark cease-and-desist letter or response: $950.00 per letter; negotiations excluded unless separately engaged.</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Rush service, when accepted by Attorney: $500.00.</w:t>
      </w:r>
    </w:p>
    <w:p>
      <w:pPr>
        <w:spacing w:after="140" w:line="276"/>
      </w:pPr>
      <w:r>
        <w:rPr>
          <w:rFonts w:ascii="Calibri" w:cs="Calibri" w:eastAsia="Calibri" w:hAnsi="Calibri"/>
          <w:sz w:val="21"/>
          <w:szCs w:val="21"/>
        </w:rPr>
        <w:t xml:space="preserve">Office Action classifications are determined by Attorney based on the substance and complexity of the USPTO correspondence. A substantive response may exceed the stated starting fee where the refusal involves multiple cited registrations, extensive legal research, significant evidentiary development, a final refusal, or unusual complexity.</w:t>
      </w:r>
    </w:p>
    <w:p>
      <w:pPr>
        <w:spacing w:after="140" w:line="276"/>
      </w:pPr>
      <w:r>
        <w:rPr>
          <w:rFonts w:ascii="Calibri" w:cs="Calibri" w:eastAsia="Calibri" w:hAnsi="Calibri"/>
          <w:sz w:val="21"/>
          <w:szCs w:val="21"/>
        </w:rPr>
        <w:t xml:space="preserve">Hourly Rate: Where this Agreement expressly provides for hourly billing, or where Client and Attorney separately agree in writing that additional services will be performed on an hourly basis, Attorney’s hourly rate is $275/hour, billed in quarter-hour (.25) increments. Flat-fee services identified in this Agreement remain governed by their stated flat fees.</w:t>
      </w:r>
    </w:p>
    <w:p>
      <w:pPr>
        <w:spacing w:after="100" w:before="200"/>
      </w:pPr>
      <w:r>
        <w:rPr>
          <w:rFonts w:ascii="Calibri" w:cs="Calibri" w:eastAsia="Calibri" w:hAnsi="Calibri"/>
          <w:b/>
          <w:bCs/>
          <w:color w:val="1F3050"/>
          <w:sz w:val="22"/>
          <w:szCs w:val="22"/>
        </w:rPr>
        <w:t xml:space="preserve">Section 6. Payment Election, Fees, and Billing</w:t>
      </w:r>
    </w:p>
    <w:p>
      <w:pPr>
        <w:spacing w:after="140" w:line="276"/>
      </w:pPr>
      <w:r>
        <w:rPr>
          <w:rFonts w:ascii="Calibri" w:cs="Calibri" w:eastAsia="Calibri" w:hAnsi="Calibri"/>
          <w:sz w:val="21"/>
          <w:szCs w:val="21"/>
        </w:rPr>
        <w:t xml:space="preserve">Client must indicate the preferred payment method below. Selection of a payment method does not change the scope of services or total attorney fee unless expressly stated.</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Paid in Full: the total elected attorney fee is due at signing. USPTO government fees remain separate and are due before the applicable filing.</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Installment Plan: Client elects 3, 5, or 6 payments, made according to the Firm’s approved payment schedule. Client must remain current before Attorney is required to continue work.</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Buy Now, Pay Later (LawPay): subject to approval and terms of the third-party financing provider. Government filing fees are separate unless the provider expressly permits otherwise.</w:t>
      </w:r>
    </w:p>
    <w:p>
      <w:pPr>
        <w:spacing w:after="140" w:line="276"/>
      </w:pPr>
      <w:r>
        <w:rPr>
          <w:rFonts w:ascii="Calibri" w:cs="Calibri" w:eastAsia="Calibri" w:hAnsi="Calibri"/>
          <w:sz w:val="21"/>
          <w:szCs w:val="21"/>
        </w:rPr>
        <w:t xml:space="preserve">For Search and File, if Client does not elect Paid in Full, the Firm’s approved installment or Buy Now, Pay Later arrangement must be established before work begins. USPTO filing fees are government costs and must be paid before the applicable filing.</w:t>
      </w:r>
    </w:p>
    <w:p>
      <w:pPr>
        <w:spacing w:after="140" w:line="276"/>
      </w:pPr>
      <w:r>
        <w:rPr>
          <w:rFonts w:ascii="Calibri" w:cs="Calibri" w:eastAsia="Calibri" w:hAnsi="Calibri"/>
          <w:sz w:val="21"/>
          <w:szCs w:val="21"/>
        </w:rPr>
        <w:t xml:space="preserve">Automatic Billing: Where Client elects an installment arrangement and provides a payment method to the Firm, Client authorizes charges consistent with the elected payment schedule and applicable payment authorization. Attorney may suspend services for a past-due balance, subject to applicable professional obligations.</w:t>
      </w:r>
    </w:p>
    <w:p>
      <w:pPr>
        <w:spacing w:after="140" w:line="276"/>
      </w:pPr>
      <w:r>
        <w:rPr>
          <w:rFonts w:ascii="Calibri" w:cs="Calibri" w:eastAsia="Calibri" w:hAnsi="Calibri"/>
          <w:sz w:val="21"/>
          <w:szCs w:val="21"/>
        </w:rPr>
        <w:t xml:space="preserve">Attorney Hourly Rate: For additional services that the parties agree will be billed hourly, Attorney’s rate is $275/hour, billed in quarter-hour (.25) increments, unless a separate written agreement expressly states otherwise.</w:t>
      </w:r>
    </w:p>
    <w:p>
      <w:pPr>
        <w:spacing w:after="100" w:before="200"/>
      </w:pPr>
      <w:r>
        <w:rPr>
          <w:rFonts w:ascii="Calibri" w:cs="Calibri" w:eastAsia="Calibri" w:hAnsi="Calibri"/>
          <w:b/>
          <w:bCs/>
          <w:color w:val="1F3050"/>
          <w:sz w:val="22"/>
          <w:szCs w:val="22"/>
        </w:rPr>
        <w:t xml:space="preserve">Section 7. Fee Earning Milestones and Trust Accounting</w:t>
      </w:r>
    </w:p>
    <w:p>
      <w:pPr>
        <w:spacing w:after="140" w:line="276"/>
      </w:pPr>
      <w:r>
        <w:rPr>
          <w:rFonts w:ascii="Calibri" w:cs="Calibri" w:eastAsia="Calibri" w:hAnsi="Calibri"/>
          <w:sz w:val="21"/>
          <w:szCs w:val="21"/>
        </w:rPr>
        <w:t xml:space="preserve">Advance attorney fees will be handled in accordance with applicable trust-account and professional-conduct rules.</w:t>
      </w:r>
    </w:p>
    <w:p>
      <w:pPr>
        <w:spacing w:after="140" w:line="276"/>
      </w:pPr>
      <w:r>
        <w:rPr>
          <w:rFonts w:ascii="Calibri" w:cs="Calibri" w:eastAsia="Calibri" w:hAnsi="Calibri"/>
          <w:sz w:val="21"/>
          <w:szCs w:val="21"/>
        </w:rPr>
        <w:t xml:space="preserve">The $650.00 Search and Clear portion is earned upon completion of the search, analysis, and delivery of the written clearance opinion. The remaining $1,350.00 application portion is earned upon Attorney’s preparation and delivery of the draft application to Client. This portion is earned for the application-preparation work performed regardless of whether Client ultimately authorizes filing, subject to applicable law and professional-conduct rules.</w:t>
      </w:r>
    </w:p>
    <w:p>
      <w:pPr>
        <w:spacing w:after="140" w:line="276"/>
      </w:pPr>
      <w:r>
        <w:rPr>
          <w:rFonts w:ascii="Calibri" w:cs="Calibri" w:eastAsia="Calibri" w:hAnsi="Calibri"/>
          <w:sz w:val="21"/>
          <w:szCs w:val="21"/>
        </w:rPr>
        <w:t xml:space="preserve">One pre-filing revision is included. Additional revisions beyond the first may be billed at Attorney’s hourly rate of $275/hour after notice to Client. If Client terminates before a milestone is completed, Attorney may charge for work actually performed as permitted by applicable law and ethical rules and will return any unearned funds.</w:t>
      </w:r>
    </w:p>
    <w:p>
      <w:pPr>
        <w:spacing w:after="100" w:before="200"/>
      </w:pPr>
      <w:r>
        <w:rPr>
          <w:rFonts w:ascii="Calibri" w:cs="Calibri" w:eastAsia="Calibri" w:hAnsi="Calibri"/>
          <w:b/>
          <w:bCs/>
          <w:color w:val="1F3050"/>
          <w:sz w:val="22"/>
          <w:szCs w:val="22"/>
        </w:rPr>
        <w:t xml:space="preserve">Section 8. Registration Timeline and Process Overview</w:t>
      </w:r>
    </w:p>
    <w:p>
      <w:pPr>
        <w:spacing w:after="140" w:line="276"/>
      </w:pPr>
      <w:r>
        <w:rPr>
          <w:rFonts w:ascii="Calibri" w:cs="Calibri" w:eastAsia="Calibri" w:hAnsi="Calibri"/>
          <w:sz w:val="21"/>
          <w:szCs w:val="21"/>
        </w:rPr>
        <w:t xml:space="preserve">Client acknowledges and understands the following regarding the federal trademark registration process for the Proposed Mark:</w:t>
      </w:r>
    </w:p>
    <w:p>
      <w:pPr>
        <w:spacing w:after="140" w:line="276"/>
      </w:pPr>
      <w:r>
        <w:rPr>
          <w:rFonts w:ascii="Calibri" w:cs="Calibri" w:eastAsia="Calibri" w:hAnsi="Calibri"/>
          <w:sz w:val="21"/>
          <w:szCs w:val="21"/>
        </w:rPr>
        <w:t xml:space="preserve">Trademark applications generally proceed under one of two filing bases. A Use in Commerce (Track A) application applies where Client is already selling goods or providing services under the mark as of the filing date. An Intent to Use (Track B) application applies where Client has a bona fide intention to use the mark but has not yet begun qualifying use as of the filing date.</w:t>
      </w:r>
    </w:p>
    <w:p>
      <w:pPr>
        <w:spacing w:after="140" w:line="276"/>
      </w:pPr>
      <w:r>
        <w:rPr>
          <w:rFonts w:ascii="Calibri" w:cs="Calibri" w:eastAsia="Calibri" w:hAnsi="Calibri"/>
          <w:sz w:val="21"/>
          <w:szCs w:val="21"/>
        </w:rPr>
        <w:t xml:space="preserve">Track A: Use in Commerce</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The application receives a serial number and appears in the USPTO’s Trademark Status and Document Retrieval (TSDR) system.</w:t>
      </w:r>
    </w:p>
    <w:p>
      <w:pPr>
        <w:pStyle w:val="ListParagraph"/>
        <w:numPr>
          <w:ilvl w:val="0"/>
          <w:numId w:val="1"/>
        </w:numPr>
        <w:spacing w:after="140" w:line="276"/>
      </w:pPr>
      <w:r>
        <w:rPr>
          <w:rFonts w:ascii="Calibri" w:cs="Calibri" w:eastAsia="Calibri" w:hAnsi="Calibri"/>
          <w:sz w:val="21"/>
          <w:szCs w:val="21"/>
        </w:rPr>
        <w:t xml:space="preserve">Examination: A USPTO examining attorney reviews the application to determine whether federal law permits registration. If an issue is identified, the USPTO may issue an Office Action. Office Action response work is separate from the Search and File package unless otherwise agreed in writing.</w:t>
      </w:r>
    </w:p>
    <w:p>
      <w:pPr>
        <w:pStyle w:val="ListParagraph"/>
        <w:numPr>
          <w:ilvl w:val="0"/>
          <w:numId w:val="1"/>
        </w:numPr>
        <w:spacing w:after="140" w:line="276"/>
      </w:pPr>
      <w:r>
        <w:rPr>
          <w:rFonts w:ascii="Calibri" w:cs="Calibri" w:eastAsia="Calibri" w:hAnsi="Calibri"/>
          <w:sz w:val="21"/>
          <w:szCs w:val="21"/>
        </w:rPr>
        <w:t xml:space="preserve">Publication: If the examining attorney approves the application, the mark is generally published in the Official Gazette for a thirty (30) day period during which third parties may oppose registration.</w:t>
      </w:r>
    </w:p>
    <w:p>
      <w:pPr>
        <w:pStyle w:val="ListParagraph"/>
        <w:numPr>
          <w:ilvl w:val="0"/>
          <w:numId w:val="1"/>
        </w:numPr>
        <w:spacing w:after="140" w:line="276"/>
      </w:pPr>
      <w:r>
        <w:rPr>
          <w:rFonts w:ascii="Calibri" w:cs="Calibri" w:eastAsia="Calibri" w:hAnsi="Calibri"/>
          <w:sz w:val="21"/>
          <w:szCs w:val="21"/>
        </w:rPr>
        <w:t xml:space="preserve">Registration: If no opposition prevents registration and the application satisfies the applicable requirements, the mark proceeds to registration and the USPTO issues a registration certificate.</w:t>
      </w:r>
    </w:p>
    <w:p>
      <w:pPr>
        <w:spacing w:after="140" w:line="276"/>
      </w:pPr>
      <w:r>
        <w:rPr>
          <w:rFonts w:ascii="Calibri" w:cs="Calibri" w:eastAsia="Calibri" w:hAnsi="Calibri"/>
          <w:sz w:val="21"/>
          <w:szCs w:val="21"/>
        </w:rPr>
        <w:t xml:space="preserve">Track B: Intent to Use</w:t>
      </w:r>
    </w:p>
    <w:p>
      <w:pPr>
        <w:pStyle w:val="ListParagraph"/>
        <w:numPr>
          <w:ilvl w:val="0"/>
          <w:numId w:val="1"/>
        </w:numPr>
        <w:spacing w:after="140" w:line="276"/>
      </w:pPr>
      <w:r>
        <w:rPr>
          <w:rFonts w:ascii="Calibri" w:cs="Calibri" w:eastAsia="Calibri" w:hAnsi="Calibri"/>
          <w:sz w:val="21"/>
          <w:szCs w:val="21"/>
        </w:rPr>
        <w:t xml:space="preserve">Filing: Attorney files the application with the USPTO and it receives a serial number.</w:t>
      </w:r>
    </w:p>
    <w:p>
      <w:pPr>
        <w:pStyle w:val="ListParagraph"/>
        <w:numPr>
          <w:ilvl w:val="0"/>
          <w:numId w:val="1"/>
        </w:numPr>
        <w:spacing w:after="140" w:line="276"/>
      </w:pPr>
      <w:r>
        <w:rPr>
          <w:rFonts w:ascii="Calibri" w:cs="Calibri" w:eastAsia="Calibri" w:hAnsi="Calibri"/>
          <w:sz w:val="21"/>
          <w:szCs w:val="21"/>
        </w:rPr>
        <w:t xml:space="preserve">Examination: A USPTO examining attorney reviews the application. If an Office Action issues, any response is separately scoped and billed unless otherwise agreed.</w:t>
      </w:r>
    </w:p>
    <w:p>
      <w:pPr>
        <w:pStyle w:val="ListParagraph"/>
        <w:numPr>
          <w:ilvl w:val="0"/>
          <w:numId w:val="1"/>
        </w:numPr>
        <w:spacing w:after="140" w:line="276"/>
      </w:pPr>
      <w:r>
        <w:rPr>
          <w:rFonts w:ascii="Calibri" w:cs="Calibri" w:eastAsia="Calibri" w:hAnsi="Calibri"/>
          <w:sz w:val="21"/>
          <w:szCs w:val="21"/>
        </w:rPr>
        <w:t xml:space="preserve">Publication: If approved, the mark is generally published for a thirty (30) day opposition period.</w:t>
      </w:r>
    </w:p>
    <w:p>
      <w:pPr>
        <w:pStyle w:val="ListParagraph"/>
        <w:numPr>
          <w:ilvl w:val="0"/>
          <w:numId w:val="1"/>
        </w:numPr>
        <w:spacing w:after="140" w:line="276"/>
      </w:pPr>
      <w:r>
        <w:rPr>
          <w:rFonts w:ascii="Calibri" w:cs="Calibri" w:eastAsia="Calibri" w:hAnsi="Calibri"/>
          <w:sz w:val="21"/>
          <w:szCs w:val="21"/>
        </w:rPr>
        <w:t xml:space="preserve">Notice of Allowance: If no opposition prevents the application from proceeding, the USPTO issues a Notice of Allowance.</w:t>
      </w:r>
    </w:p>
    <w:p>
      <w:pPr>
        <w:pStyle w:val="ListParagraph"/>
        <w:numPr>
          <w:ilvl w:val="0"/>
          <w:numId w:val="1"/>
        </w:numPr>
        <w:spacing w:after="140" w:line="276"/>
      </w:pPr>
      <w:r>
        <w:rPr>
          <w:rFonts w:ascii="Calibri" w:cs="Calibri" w:eastAsia="Calibri" w:hAnsi="Calibri"/>
          <w:sz w:val="21"/>
          <w:szCs w:val="21"/>
        </w:rPr>
        <w:t xml:space="preserve">Statement of Use or Extension Request: Client must then timely submit qualifying evidence of use through a Statement of Use or request additional time through an Extension Request, as permitted by USPTO rules. These submissions and their government fees are separate from the Search and File fee.</w:t>
      </w:r>
    </w:p>
    <w:p>
      <w:pPr>
        <w:pStyle w:val="ListParagraph"/>
        <w:numPr>
          <w:ilvl w:val="0"/>
          <w:numId w:val="1"/>
        </w:numPr>
        <w:spacing w:after="140" w:line="276"/>
      </w:pPr>
      <w:r>
        <w:rPr>
          <w:rFonts w:ascii="Calibri" w:cs="Calibri" w:eastAsia="Calibri" w:hAnsi="Calibri"/>
          <w:sz w:val="21"/>
          <w:szCs w:val="21"/>
        </w:rPr>
        <w:t xml:space="preserve">Registration: Once the applicable use requirements are satisfied and accepted, the mark may proceed to registration.</w:t>
      </w:r>
    </w:p>
    <w:p>
      <w:pPr>
        <w:spacing w:after="140" w:line="276"/>
      </w:pPr>
      <w:r>
        <w:rPr>
          <w:rFonts w:ascii="Calibri" w:cs="Calibri" w:eastAsia="Calibri" w:hAnsi="Calibri"/>
          <w:sz w:val="21"/>
          <w:szCs w:val="21"/>
        </w:rPr>
        <w:t xml:space="preserve">Processing Time: USPTO processing times change. Attorney may provide Client with then-current published USPTO estimates during the representation. Any estimate is informational only. Office Actions, oppositions, requests for additional evidence, intent-to-use requirements, Client delay, or USPTO delay can extend the overall timeline.</w:t>
      </w:r>
    </w:p>
    <w:p>
      <w:pPr>
        <w:spacing w:after="140" w:line="276"/>
      </w:pPr>
      <w:r>
        <w:rPr>
          <w:rFonts w:ascii="Calibri" w:cs="Calibri" w:eastAsia="Calibri" w:hAnsi="Calibri"/>
          <w:sz w:val="21"/>
          <w:szCs w:val="21"/>
        </w:rPr>
        <w:t xml:space="preserve">Attorney makes no guarantee of registration or of any particular processing timeframe.</w:t>
      </w:r>
    </w:p>
    <w:p>
      <w:pPr>
        <w:spacing w:after="100" w:before="200"/>
      </w:pPr>
      <w:r>
        <w:rPr>
          <w:rFonts w:ascii="Calibri" w:cs="Calibri" w:eastAsia="Calibri" w:hAnsi="Calibri"/>
          <w:b/>
          <w:bCs/>
          <w:color w:val="1F3050"/>
          <w:sz w:val="22"/>
          <w:szCs w:val="22"/>
        </w:rPr>
        <w:t xml:space="preserve">Section 9. Client Responsibilities</w:t>
      </w:r>
    </w:p>
    <w:p>
      <w:pPr>
        <w:spacing w:after="140" w:line="276"/>
      </w:pPr>
      <w:r>
        <w:rPr>
          <w:rFonts w:ascii="Calibri" w:cs="Calibri" w:eastAsia="Calibri" w:hAnsi="Calibri"/>
          <w:sz w:val="21"/>
          <w:szCs w:val="21"/>
        </w:rPr>
        <w:t xml:space="preserve">General: Client agrees to be truthful with Attorney, to cooperate, to provide all factual and documentary evidence necessary for Attorney to perform the professional services, to abide by this Agreement and to keep Attorney advised of Client’s address, telephone number, and email address. In the event the Firm is unable to locate Client, the Firm may terminate all further representation of Client by sending an email to Client’s last known email address and filing all necessary documents to seek permission to withdraw from any formal representation.</w:t>
      </w:r>
    </w:p>
    <w:p>
      <w:pPr>
        <w:spacing w:after="140" w:line="276"/>
      </w:pPr>
      <w:r>
        <w:rPr>
          <w:rFonts w:ascii="Calibri" w:cs="Calibri" w:eastAsia="Calibri" w:hAnsi="Calibri"/>
          <w:sz w:val="21"/>
          <w:szCs w:val="21"/>
        </w:rPr>
        <w:t xml:space="preserve">Use of TM, SM, and R: Client may use the "TM" symbol for unregistered marks, slogans, or logos to claim ownership under common law (or the "SM" mark for services), even while an application is pending. In signing this Agreement, Client acknowledges that this denotation does not fully inoculate Client in the event someone else registers the mark, slogan, or logo first. Client also acknowledges that the registered symbol is legally restricted and may only be used after the United States Patent and Trademark Office (USPTO) officially registers Client’s trademark and issues a registration certificate. Improper use of the registered symbol may result in legal penalties and/or lawsuits, for which Client is wholly responsible. Representation of the Client regarding such matters is expressly excluded from Legal Services under this Agreement.</w:t>
      </w:r>
    </w:p>
    <w:p>
      <w:pPr>
        <w:spacing w:after="100" w:before="200"/>
      </w:pPr>
      <w:r>
        <w:rPr>
          <w:rFonts w:ascii="Calibri" w:cs="Calibri" w:eastAsia="Calibri" w:hAnsi="Calibri"/>
          <w:b/>
          <w:bCs/>
          <w:color w:val="1F3050"/>
          <w:sz w:val="22"/>
          <w:szCs w:val="22"/>
        </w:rPr>
        <w:t xml:space="preserve">Section 10. Business Hours and Communication Policies</w:t>
      </w:r>
    </w:p>
    <w:p>
      <w:pPr>
        <w:spacing w:after="140" w:line="276"/>
      </w:pPr>
      <w:r>
        <w:rPr>
          <w:rFonts w:ascii="Calibri" w:cs="Calibri" w:eastAsia="Calibri" w:hAnsi="Calibri"/>
          <w:sz w:val="21"/>
          <w:szCs w:val="21"/>
        </w:rPr>
        <w:t xml:space="preserve">Attorney’s business hours are Monday through Friday, 9:30 a.m. to 4:30 p.m. Central Time. Client will communicate with Attorney through email, telephone, or the Firm’s case-management portal. Social media is not an approved avenue for communications concerning Client’s legal matter.</w:t>
      </w:r>
    </w:p>
    <w:p>
      <w:pPr>
        <w:spacing w:after="140" w:line="276"/>
      </w:pPr>
      <w:r>
        <w:rPr>
          <w:rFonts w:ascii="Calibri" w:cs="Calibri" w:eastAsia="Calibri" w:hAnsi="Calibri"/>
          <w:sz w:val="21"/>
          <w:szCs w:val="21"/>
        </w:rPr>
        <w:t xml:space="preserve">When Attorney sends a material communication requiring Client action, Client will respond within ten (10) business days unless a different deadline is stated. Attorney may send a follow-up reminder and may suspend or terminate representation for material failure to communicate, subject to applicable professional obligations.</w:t>
      </w:r>
    </w:p>
    <w:p>
      <w:pPr>
        <w:spacing w:after="140" w:line="276"/>
      </w:pPr>
      <w:r>
        <w:rPr>
          <w:rFonts w:ascii="Calibri" w:cs="Calibri" w:eastAsia="Calibri" w:hAnsi="Calibri"/>
          <w:sz w:val="21"/>
          <w:szCs w:val="21"/>
        </w:rPr>
        <w:t xml:space="preserve">Client has ten (10) business days from delivery of a draft or deliverable to identify requested corrections or objections in writing. Silence does not authorize a filing where Client approval or verification is legally required.</w:t>
      </w:r>
    </w:p>
    <w:p>
      <w:pPr>
        <w:spacing w:after="100" w:before="200"/>
      </w:pPr>
      <w:r>
        <w:rPr>
          <w:rFonts w:ascii="Calibri" w:cs="Calibri" w:eastAsia="Calibri" w:hAnsi="Calibri"/>
          <w:b/>
          <w:bCs/>
          <w:color w:val="1F3050"/>
          <w:sz w:val="22"/>
          <w:szCs w:val="22"/>
        </w:rPr>
        <w:t xml:space="preserve">Section 11. Client-Provided Research and Artificial Intelligence (AI) Materials</w:t>
      </w:r>
    </w:p>
    <w:p>
      <w:pPr>
        <w:spacing w:after="140" w:line="276"/>
      </w:pPr>
      <w:r>
        <w:rPr>
          <w:rFonts w:ascii="Calibri" w:cs="Calibri" w:eastAsia="Calibri" w:hAnsi="Calibri"/>
          <w:sz w:val="21"/>
          <w:szCs w:val="21"/>
        </w:rPr>
        <w:t xml:space="preserve">Review of client-supplied research, internet materials, social media content, or artificial intelligence-generated information is outside the defined scope of legal services described in this Agreement unless Attorney determines such review is reasonably necessary to advance Client’s legal objectives. Any review, analysis, verification, or response to such materials will be undertaken solely at Attorney’s discretion and will constitute billable legal work. Such time will be billed at Attorney’s standard hourly rate or, in flat-fee matters, as an additional fee separate from and not included in the flat fee. Attorney is not obligated to advance arguments, cite authorities, or incorporate materials that Attorney determines to be inaccurate, unsupported, strategically unsound, or inconsistent with applicable law or ethical obligations.</w:t>
      </w:r>
    </w:p>
    <w:p>
      <w:pPr>
        <w:spacing w:after="140" w:line="276"/>
      </w:pPr>
      <w:r>
        <w:rPr>
          <w:rFonts w:ascii="Calibri" w:cs="Calibri" w:eastAsia="Calibri" w:hAnsi="Calibri"/>
          <w:sz w:val="21"/>
          <w:szCs w:val="21"/>
        </w:rPr>
        <w:t xml:space="preserve">WARNING: use of AI and search engine prompts and queries related to your matter may constitute waiver of attorney-client privilege and confidentiality of such information and documents, which may be discoverable and used against you. AI and search engines are not attorneys and may not owe you any duty of confidentiality or privilege protections.</w:t>
      </w:r>
    </w:p>
    <w:p>
      <w:pPr>
        <w:spacing w:after="100" w:before="200"/>
      </w:pPr>
      <w:r>
        <w:rPr>
          <w:rFonts w:ascii="Calibri" w:cs="Calibri" w:eastAsia="Calibri" w:hAnsi="Calibri"/>
          <w:b/>
          <w:bCs/>
          <w:color w:val="1F3050"/>
          <w:sz w:val="22"/>
          <w:szCs w:val="22"/>
        </w:rPr>
        <w:t xml:space="preserve">Section 12. Authority Power of Attorney</w:t>
      </w:r>
    </w:p>
    <w:p>
      <w:pPr>
        <w:spacing w:after="140" w:line="276"/>
      </w:pPr>
      <w:r>
        <w:rPr>
          <w:rFonts w:ascii="Calibri" w:cs="Calibri" w:eastAsia="Calibri" w:hAnsi="Calibri"/>
          <w:sz w:val="21"/>
          <w:szCs w:val="21"/>
        </w:rPr>
        <w:t xml:space="preserve">Client authorizes Jennifer N. Brantley, Esq. and J Brantley Law, PLLC to act as counsel within the scope of this engagement and to submit documents authorized by Client or otherwise permitted by applicable USPTO rules and professional obligations. Attorney will not make material factual certifications on Client’s behalf without appropriate Client authorization.</w:t>
      </w:r>
    </w:p>
    <w:p>
      <w:pPr>
        <w:spacing w:after="100" w:before="200"/>
      </w:pPr>
      <w:r>
        <w:rPr>
          <w:rFonts w:ascii="Calibri" w:cs="Calibri" w:eastAsia="Calibri" w:hAnsi="Calibri"/>
          <w:b/>
          <w:bCs/>
          <w:color w:val="1F3050"/>
          <w:sz w:val="22"/>
          <w:szCs w:val="22"/>
        </w:rPr>
        <w:t xml:space="preserve">Section 13. USPTO Fees and Government Costs</w:t>
      </w:r>
    </w:p>
    <w:p>
      <w:pPr>
        <w:spacing w:after="140" w:line="276"/>
      </w:pPr>
      <w:r>
        <w:rPr>
          <w:rFonts w:ascii="Calibri" w:cs="Calibri" w:eastAsia="Calibri" w:hAnsi="Calibri"/>
          <w:sz w:val="21"/>
          <w:szCs w:val="21"/>
        </w:rPr>
        <w:t xml:space="preserve">USPTO filing and other government fees are separate costs and are not included in Attorney’s fees unless expressly stated. Government fees may change during the representation. Client is responsible for the fee in effect when the applicable filing is made.</w:t>
      </w:r>
    </w:p>
    <w:p>
      <w:pPr>
        <w:spacing w:after="100" w:before="200"/>
      </w:pPr>
      <w:r>
        <w:rPr>
          <w:rFonts w:ascii="Calibri" w:cs="Calibri" w:eastAsia="Calibri" w:hAnsi="Calibri"/>
          <w:b/>
          <w:bCs/>
          <w:color w:val="1F3050"/>
          <w:sz w:val="22"/>
          <w:szCs w:val="22"/>
        </w:rPr>
        <w:t xml:space="preserve">Section 14. Conflicts, Confidentiality, and Insurance</w:t>
      </w:r>
    </w:p>
    <w:p>
      <w:pPr>
        <w:spacing w:after="140" w:line="276"/>
      </w:pPr>
      <w:r>
        <w:rPr>
          <w:rFonts w:ascii="Calibri" w:cs="Calibri" w:eastAsia="Calibri" w:hAnsi="Calibri"/>
          <w:sz w:val="21"/>
          <w:szCs w:val="21"/>
        </w:rPr>
        <w:t xml:space="preserve">Attorney will maintain Client confidences and address conflicts of interest in accordance with applicable professional-conduct rules. Attorney maintains professional liability insurance.</w:t>
      </w:r>
    </w:p>
    <w:p>
      <w:pPr>
        <w:spacing w:after="100" w:before="200"/>
      </w:pPr>
      <w:r>
        <w:rPr>
          <w:rFonts w:ascii="Calibri" w:cs="Calibri" w:eastAsia="Calibri" w:hAnsi="Calibri"/>
          <w:b/>
          <w:bCs/>
          <w:color w:val="1F3050"/>
          <w:sz w:val="22"/>
          <w:szCs w:val="22"/>
        </w:rPr>
        <w:t xml:space="preserve">Section 15. No Guarantee of Outcome or Estimates</w:t>
      </w:r>
    </w:p>
    <w:p>
      <w:pPr>
        <w:spacing w:after="140" w:line="276"/>
      </w:pPr>
      <w:r>
        <w:rPr>
          <w:rFonts w:ascii="Calibri" w:cs="Calibri" w:eastAsia="Calibri" w:hAnsi="Calibri"/>
          <w:sz w:val="21"/>
          <w:szCs w:val="21"/>
        </w:rPr>
        <w:t xml:space="preserve">Nothing in this Agreement or Attorney’s statements to Clients shall be construed as a promise or guarantee regarding trademark registration or about the outcome of the matter. Any estimate of fees or costs given by Attorney or non-attorney staff shall not be considered a guarantee. Client understands this is an application process which could result in denial of the Client’s trademark. Client further understands that if Client does not timely pay Client’s invoice for either the statement of use or extension request by invoice deadline Client’s trademark will abandon at no fault to Attorney and Client will have to pay additional fees to reinstate Client’s application.</w:t>
      </w:r>
    </w:p>
    <w:p>
      <w:pPr>
        <w:spacing w:after="100" w:before="200"/>
      </w:pPr>
      <w:r>
        <w:rPr>
          <w:rFonts w:ascii="Calibri" w:cs="Calibri" w:eastAsia="Calibri" w:hAnsi="Calibri"/>
          <w:b/>
          <w:bCs/>
          <w:color w:val="1F3050"/>
          <w:sz w:val="22"/>
          <w:szCs w:val="22"/>
        </w:rPr>
        <w:t xml:space="preserve">Section 16. Termination of Representation</w:t>
      </w:r>
    </w:p>
    <w:p>
      <w:pPr>
        <w:spacing w:after="140" w:line="276"/>
      </w:pPr>
      <w:r>
        <w:rPr>
          <w:rFonts w:ascii="Calibri" w:cs="Calibri" w:eastAsia="Calibri" w:hAnsi="Calibri"/>
          <w:sz w:val="21"/>
          <w:szCs w:val="21"/>
        </w:rPr>
        <w:t xml:space="preserve">Either Attorney or Client may terminate this engagement upon written notice, subject to Attorney’s professional obligations and any USPTO requirements applicable to withdrawal. Client remains responsible for fees earned and costs incurred through termination. Unearned advance funds will be returned as required by applicable law and professional-conduct rules.</w:t>
      </w:r>
    </w:p>
    <w:p>
      <w:pPr>
        <w:spacing w:after="100" w:before="200"/>
      </w:pPr>
      <w:r>
        <w:rPr>
          <w:rFonts w:ascii="Calibri" w:cs="Calibri" w:eastAsia="Calibri" w:hAnsi="Calibri"/>
          <w:b/>
          <w:bCs/>
          <w:color w:val="1F3050"/>
          <w:sz w:val="22"/>
          <w:szCs w:val="22"/>
        </w:rPr>
        <w:t xml:space="preserve">Section 17. Electronic Communications and Delivery Consent</w:t>
      </w:r>
    </w:p>
    <w:p>
      <w:pPr>
        <w:spacing w:after="140" w:line="276"/>
      </w:pPr>
      <w:r>
        <w:rPr>
          <w:rFonts w:ascii="Calibri" w:cs="Calibri" w:eastAsia="Calibri" w:hAnsi="Calibri"/>
          <w:sz w:val="21"/>
          <w:szCs w:val="21"/>
        </w:rPr>
        <w:t xml:space="preserve">Client consents to receive this Agreement, invoices, drafts, USPTO correspondence, deliverables, and other communications electronically through the email address or client portal on file. Client must promptly notify Attorney of any change to Client’s contact information.</w:t>
      </w:r>
    </w:p>
    <w:p>
      <w:pPr>
        <w:spacing w:after="100" w:before="200"/>
      </w:pPr>
      <w:r>
        <w:rPr>
          <w:rFonts w:ascii="Calibri" w:cs="Calibri" w:eastAsia="Calibri" w:hAnsi="Calibri"/>
          <w:b/>
          <w:bCs/>
          <w:color w:val="1F3050"/>
          <w:sz w:val="22"/>
          <w:szCs w:val="22"/>
        </w:rPr>
        <w:t xml:space="preserve">Section 18. Governing Law and Dispute Resolution</w:t>
      </w:r>
    </w:p>
    <w:p>
      <w:pPr>
        <w:spacing w:after="140" w:line="276"/>
      </w:pPr>
      <w:r>
        <w:rPr>
          <w:rFonts w:ascii="Calibri" w:cs="Calibri" w:eastAsia="Calibri" w:hAnsi="Calibri"/>
          <w:sz w:val="21"/>
          <w:szCs w:val="21"/>
        </w:rPr>
        <w:t xml:space="preserve">This Agreement is governed by the laws of the State of Texas, except to the extent another jurisdiction’s mandatory law or professional-conduct rules apply.</w:t>
      </w:r>
    </w:p>
    <w:p>
      <w:pPr>
        <w:spacing w:after="100" w:before="200"/>
      </w:pPr>
      <w:r>
        <w:rPr>
          <w:rFonts w:ascii="Calibri" w:cs="Calibri" w:eastAsia="Calibri" w:hAnsi="Calibri"/>
          <w:b/>
          <w:bCs/>
          <w:color w:val="1F3050"/>
          <w:sz w:val="22"/>
          <w:szCs w:val="22"/>
        </w:rPr>
        <w:t xml:space="preserve">Section 19. Publicity</w:t>
      </w:r>
    </w:p>
    <w:p>
      <w:pPr>
        <w:spacing w:after="140" w:line="276"/>
      </w:pPr>
      <w:r>
        <w:rPr>
          <w:rFonts w:ascii="Calibri" w:cs="Calibri" w:eastAsia="Calibri" w:hAnsi="Calibri"/>
          <w:sz w:val="21"/>
          <w:szCs w:val="21"/>
        </w:rPr>
        <w:t xml:space="preserve">Publicity and Marketing Consent (Optional): Client’s consent to publicity is entirely optional and is not a condition of representation. Unless Client affirmatively opts in below, the Firm will not identify Client or use Client’s name, registration certificate, testimonial, outcome, or case description for marketing or business-development purposes, except as otherwise permitted by applicable law and professional-conduct rules.</w:t>
      </w:r>
    </w:p>
    <w:p>
      <w:pPr>
        <w:spacing w:after="60" w:before="100"/>
      </w:pPr>
      <w:r>
        <w:rPr>
          <w:rFonts w:ascii="Calibri" w:cs="Calibri" w:eastAsia="Calibri" w:hAnsi="Calibri"/>
          <w:sz w:val="21"/>
          <w:szCs w:val="21"/>
        </w:rPr>
        <w:t xml:space="preserve">☐  </w:t>
      </w:r>
      <w:r>
        <w:rPr>
          <w:rFonts w:ascii="Calibri" w:cs="Calibri" w:eastAsia="Calibri" w:hAnsi="Calibri"/>
          <w:sz w:val="21"/>
          <w:szCs w:val="21"/>
        </w:rPr>
        <w:t xml:space="preserve">I OPT IN. I authorize J Brantley Law, PLLC to identify me and/or my company as a client and to share non-confidential information about the Firm’s work on this trademark matter, including registration certificates, outcomes, and general case descriptions, for the Firm’s marketing and business-development purposes. I understand that I may revoke this consent prospectively at any time by written notice to the Firm.</w:t>
      </w:r>
    </w:p>
    <w:p>
      <w:pPr>
        <w:spacing w:after="100" w:before="200"/>
      </w:pPr>
      <w:r>
        <w:rPr>
          <w:rFonts w:ascii="Calibri" w:cs="Calibri" w:eastAsia="Calibri" w:hAnsi="Calibri"/>
          <w:b/>
          <w:bCs/>
          <w:color w:val="1F3050"/>
          <w:sz w:val="22"/>
          <w:szCs w:val="22"/>
        </w:rPr>
        <w:t xml:space="preserve">Section 20. Entire Agreement</w:t>
      </w:r>
    </w:p>
    <w:p>
      <w:pPr>
        <w:spacing w:after="140" w:line="276"/>
      </w:pPr>
      <w:r>
        <w:rPr>
          <w:rFonts w:ascii="Calibri" w:cs="Calibri" w:eastAsia="Calibri" w:hAnsi="Calibri"/>
          <w:sz w:val="21"/>
          <w:szCs w:val="21"/>
        </w:rPr>
        <w:t xml:space="preserve">This Agreement constitutes the entire agreement between Attorney and Client regarding the services described and supersedes prior discussions or understandings concerning that scope. Additional services or amendments must be confirmed in writing.</w:t>
      </w:r>
    </w:p>
    <w:p>
      <w:pPr>
        <w:spacing w:after="140" w:line="276"/>
      </w:pPr>
      <w:r>
        <w:rPr>
          <w:rFonts w:ascii="Calibri" w:cs="Calibri" w:eastAsia="Calibri" w:hAnsi="Calibri"/>
          <w:sz w:val="21"/>
          <w:szCs w:val="21"/>
        </w:rPr>
        <w:t xml:space="preserve">By signing below, Client confirms the elections above and agrees to the terms of this Agreement.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Attorney Signature                                             Date</w:t>
      </w:r>
    </w:p>
    <w:p>
      <w:pPr>
        <w:spacing w:after="140" w:line="276"/>
      </w:pPr>
      <w:r>
        <w:rPr>
          <w:rFonts w:ascii="Calibri" w:cs="Calibri" w:eastAsia="Calibri" w:hAnsi="Calibri"/>
          <w:sz w:val="21"/>
          <w:szCs w:val="21"/>
        </w:rPr>
        <w:t xml:space="preserve">Jennifer N. Brantley, Esq., 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2026-10-08T01:55:35.804Z</dcterms:created>
  <dcterms:modified xsi:type="dcterms:W3CDTF">2026-10-08T01:55:35.804Z</dcterms:modified>
</cp:coreProperties>
</file>

<file path=docProps/custom.xml><?xml version="1.0" encoding="utf-8"?>
<Properties xmlns="http://schemas.openxmlformats.org/officeDocument/2006/custom-properties" xmlns:vt="http://schemas.openxmlformats.org/officeDocument/2006/docPropsVTypes"/>
</file>