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Knockout Search</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6: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Knockout Search tier of trademark services for the Proposed Mark, described below. The fee below reflects one (1) class; additional classes incur an additional charge as set out in Section 2B.</w:t>
      </w:r>
    </w:p>
    <w:p>
      <w:pPr>
        <w:spacing w:after="140" w:line="276"/>
      </w:pPr>
      <w:r>
        <w:rPr>
          <w:rFonts w:ascii="Calibri" w:cs="Calibri" w:eastAsia="Calibri" w:hAnsi="Calibri"/>
          <w:sz w:val="21"/>
          <w:szCs w:val="21"/>
        </w:rPr>
        <w:t xml:space="preserve">Knockout Search: A quick scan of the official USPTO database and a brief risk assessment. This option does not include preparation or filing of a federal trademark application. Client cannot upgrade to a filing tier if this search is selected. Attorney fee: $350.00.</w:t>
      </w:r>
    </w:p>
    <w:p>
      <w:pPr>
        <w:spacing w:after="140" w:line="276"/>
      </w:pPr>
      <w:r>
        <w:rPr>
          <w:rFonts w:ascii="Calibri" w:cs="Calibri" w:eastAsia="Calibri" w:hAnsi="Calibri"/>
          <w:sz w:val="21"/>
          <w:szCs w:val="21"/>
        </w:rPr>
        <w:t xml:space="preserve">2B. Additional Services: Client may elect the following a la carte / add-on services.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Trademark Cease and Desist Letter or Cease and Desist Response (if Client is the recipient): $750.00 per letter. Includes applicable research, up to fifteen (15) minutes of consultation (or equivalent email correspondence) regarding the trademark use at issue, drafting of one cease and desist letter, and delivery to Client for approval before sending. Client is responsible for delivery costs (postage, courier, etc.) if not sent electronically. Limited to trademark-related cease and desist matters only. If the offending party responds or negotiation is required, that work is outside this scope and available at Attorney’s hourly rate of $250/hour, billed in quarter-hour (.25) increments, under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Non-substantive (procedural) Office Action response: $500.00 per response. Non-substantive actions address minor technical, procedural, or formatting errors — for example, unclear or miscategorized identification of goods/services, specimen issues, disclaimers, or clarifications — rather than refusing the core eligibility of the mark.</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Substantive Office Action response: $1,500.00 per response. Substantive actions refuse registration on legal grounds and challenge the core eligibility of the mark, name, logo, or slogan. If not included in Client’s elected tier, Attorney may provide this service a la carte at the current rate.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Amendment to a pro se existing filing: $1,500.00 per amendment.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Additional class(es): the fees in Section 2 cover the application in one (1) class. Additional classes are billed at $250.00 per class in attorney fees, plus the applicable USPTO filing fee per class, per application. Any request to add classes must be approved in writing by Attorney before work commences.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Rush fee: $500.00 per requested instance. Client must elect this service if applicable; if applicable but not elected, the Rush fee will be added to Client’s invoice by Attorney.</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Full payment is due at signing and held in trust until delivery of the brief risk assessment.</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w:t>
      </w:r>
    </w:p>
    <w:p>
      <w:pPr>
        <w:spacing w:after="140" w:line="276"/>
      </w:pPr>
      <w:r>
        <w:rPr>
          <w:rFonts w:ascii="Calibri" w:cs="Calibri" w:eastAsia="Calibri" w:hAnsi="Calibri"/>
          <w:sz w:val="21"/>
          <w:szCs w:val="21"/>
        </w:rPr>
        <w:t xml:space="preserve">Invoices for any services outside the elected tier are due within seven (7) days of the invoice date.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The full fee is earned in full upon Attorney’s completion of the knockout search and delivery of the brief risk assessment to Client. If Attorney has already completed the search prior to this Agreement’s execution, the full fee is earned upon execution of this Agreement and Client’s payment.</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40" w:line="276"/>
      </w:pPr>
      <w:r>
        <w:rPr>
          <w:rFonts w:ascii="Calibri" w:cs="Calibri" w:eastAsia="Calibri" w:hAnsi="Calibri"/>
          <w:sz w:val="21"/>
          <w:szCs w:val="21"/>
        </w:rPr>
        <w:t xml:space="preserve">Communication Deadlines: When Attorney sends Client a material communication requiring Client’s response (including requests for approval of draft applications, payment authorization, or clarification of project scope), Client has ten (10) business days to respond. Response means written communication back to Attorney addressing the specific request. Silence or failure to respond is treated as a breach of this engagement’s communication requirement.</w:t>
      </w:r>
    </w:p>
    <w:p>
      <w:pPr>
        <w:spacing w:after="140" w:line="276"/>
      </w:pPr>
      <w:r>
        <w:rPr>
          <w:rFonts w:ascii="Calibri" w:cs="Calibri" w:eastAsia="Calibri" w:hAnsi="Calibri"/>
          <w:sz w:val="21"/>
          <w:szCs w:val="21"/>
        </w:rPr>
        <w:t xml:space="preserve">If Client does not respond within ten (10) business days: on Day 10, Attorney will send a follow-up reminder email, restating the original request and extending the deadline to Day 15 (an additional five (5) business days). If Client has not responded by Day 15, Attorney may, at Attorney’s sole discretion, (a) proceed with the engagement based on Attorney’s professional judgment regarding the matter at issue, with Client remaining liable for all fees incurred and Attorney not responsible for any consequences of Client’s non-participation, or (b) terminate this engagement for material breach (Client’s failure to cooperate and communicate), with Client responsible for all fees incurred through termination as described above.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Deliverables and Acceptance: Attorney will communicate the anticipated completion timeline for each elected deliverable directly with Client during representation. Client has ten (10) business days from the date of delivery of any deliverable to review and object in writing to its contents. The ten-business-day clock runs from the delivery date. Absent a timely written objection, the deliverable is deemed accepted.</w:t>
      </w:r>
    </w:p>
    <w:p>
      <w:pPr>
        <w:spacing w:after="140" w:line="276"/>
      </w:pPr>
      <w:r>
        <w:rPr>
          <w:rFonts w:ascii="Calibri" w:cs="Calibri" w:eastAsia="Calibri" w:hAnsi="Calibri"/>
          <w:sz w:val="21"/>
          <w:szCs w:val="21"/>
        </w:rPr>
        <w:t xml:space="preserve">Client-Provided Research and Artificial Intelligence (AI) Materials: Review of client-supplied research, internet materials, social media content, or artificial intelligence-generated information is outside the defined scope of legal services described in this Agreement unless Attorney determines such review is reasonably necessary to advance Client’s legal objectives. Any review, analysis, verification, or response to such materials will be undertaken solely at Attorney’s discretion and will constitute billable legal work. Such time will be billed at Attorney’s standard hourly rate or, in flat-fee matters, as an additional fee separate from and not included in the flat fee. Attorney is not obligated to advance arguments, cite authorities, or incorporate materials that Attorney determines to be inaccurate, unsupported, strategically unsound, or inconsistent with applicable law or ethical obligations.</w:t>
      </w:r>
    </w:p>
    <w:p>
      <w:pPr>
        <w:spacing w:after="140" w:line="276"/>
      </w:pPr>
      <w:r>
        <w:rPr>
          <w:rFonts w:ascii="Calibri" w:cs="Calibri" w:eastAsia="Calibri" w:hAnsi="Calibri"/>
          <w:sz w:val="21"/>
          <w:szCs w:val="21"/>
        </w:rPr>
        <w:t xml:space="preserve">WARNING: use of AI and search engine prompts and queries related to your matter may constitute waiver of attorney-client privilege and confidentiality of such information and documents, which may be discoverable and used against you. AI and search engines are not attorneys and may not owe you any duty of confidentiality or privilege protections.</w:t>
      </w:r>
    </w:p>
    <w:p>
      <w:pPr>
        <w:spacing w:after="100" w:before="200"/>
      </w:pPr>
      <w:r>
        <w:rPr>
          <w:rFonts w:ascii="Calibri" w:cs="Calibri" w:eastAsia="Calibri" w:hAnsi="Calibri"/>
          <w:b/>
          <w:bCs/>
          <w:color w:val="1F3050"/>
          <w:sz w:val="22"/>
          <w:szCs w:val="22"/>
        </w:rPr>
        <w:t xml:space="preserve">Section 6. Power of Attorney</w:t>
      </w:r>
    </w:p>
    <w:p>
      <w:pPr>
        <w:spacing w:after="140" w:line="276"/>
      </w:pPr>
      <w:r>
        <w:rPr>
          <w:rFonts w:ascii="Calibri" w:cs="Calibri" w:eastAsia="Calibri" w:hAnsi="Calibri"/>
          <w:sz w:val="21"/>
          <w:szCs w:val="21"/>
        </w:rPr>
        <w:t xml:space="preserve">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 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w:t>
      </w:r>
    </w:p>
    <w:p>
      <w:pPr>
        <w:spacing w:after="140" w:line="276"/>
      </w:pPr>
      <w:r>
        <w:rPr>
          <w:rFonts w:ascii="Calibri" w:cs="Calibri" w:eastAsia="Calibri" w:hAnsi="Calibri"/>
          <w:sz w:val="21"/>
          <w:szCs w:val="21"/>
        </w:rPr>
        <w:t xml:space="preserve">Registration Timeline for Use in Commerce (Track A)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Registration: If no opposition is filed and the application is based on use in commerce, the mark proceeds to registration and Client receives a registration certificate.</w:t>
      </w:r>
    </w:p>
    <w:p>
      <w:pPr>
        <w:spacing w:after="140" w:line="276"/>
      </w:pPr>
      <w:r>
        <w:rPr>
          <w:rFonts w:ascii="Calibri" w:cs="Calibri" w:eastAsia="Calibri" w:hAnsi="Calibri"/>
          <w:sz w:val="21"/>
          <w:szCs w:val="21"/>
        </w:rPr>
        <w:t xml:space="preserve">Registration Timeline for Intent to Use (Track B) Applications:</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 (File and Protect or Full Shield).</w:t>
      </w:r>
    </w:p>
    <w:p>
      <w:pPr>
        <w:pStyle w:val="ListParagraph"/>
        <w:numPr>
          <w:ilvl w:val="0"/>
          <w:numId w:val="1"/>
        </w:num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Notice of Allowance: If no opposition is filed and the application is based on intent to use, the USPTO issues a Notice of Allowance. Client must then submit evidence that Client is using the mark in commerce (a Statement of Use), or file an Extension Request if Client is not yet ready to use the mark.</w:t>
      </w:r>
    </w:p>
    <w:p>
      <w:pPr>
        <w:pStyle w:val="ListParagraph"/>
        <w:numPr>
          <w:ilvl w:val="0"/>
          <w:numId w:val="1"/>
        </w:numPr>
        <w:spacing w:after="140" w:line="276"/>
      </w:pPr>
      <w:r>
        <w:rPr>
          <w:rFonts w:ascii="Calibri" w:cs="Calibri" w:eastAsia="Calibri" w:hAnsi="Calibri"/>
          <w:sz w:val="21"/>
          <w:szCs w:val="21"/>
        </w:rPr>
        <w:t xml:space="preserve">Statement of Use or Extension Request: If Client has elected the File and Protect or Full Shield tier with the Track B upcharge, Attorney will assist with one (1) Statement of Use or Extension Request submission, including review of Client’s specimens and submission to the USPTO. The Track B upcharge covers this work.</w:t>
      </w:r>
    </w:p>
    <w:p>
      <w:pPr>
        <w:spacing w:after="140" w:line="276"/>
      </w:pPr>
      <w:r>
        <w:rPr>
          <w:rFonts w:ascii="Calibri" w:cs="Calibri" w:eastAsia="Calibri" w:hAnsi="Calibri"/>
          <w:sz w:val="21"/>
          <w:szCs w:val="21"/>
        </w:rPr>
        <w:t xml:space="preserve">If Client is on a Search and File engagement (which does not include Track B services), Client is responsible for independently submitting the Statement of Use or Extension Request to the USPTO or engaging separate counsel.</w:t>
      </w:r>
    </w:p>
    <w:p>
      <w:pPr>
        <w:spacing w:after="140" w:line="276"/>
      </w:pPr>
      <w:r>
        <w:rPr>
          <w:rFonts w:ascii="Calibri" w:cs="Calibri" w:eastAsia="Calibri" w:hAnsi="Calibri"/>
          <w:sz w:val="21"/>
          <w:szCs w:val="21"/>
        </w:rPr>
        <w:t xml:space="preserve">USPTO Government Fees for Evidence Submission: The Statement of Use or Extension Request requires a separate USPTO government filing fee. This government fee is separate from Attorney’s Track B upcharge and is due at the time of submission to the USPTO. If Client needs more than one Extension Request before becoming ready to use the mark in commerce, additional Extension Requests beyond the first will be billed at Attorney’s hourly rate in quarter-hour increments, in addition to the applicable USPTO government filing fee for each submission.</w:t>
      </w:r>
    </w:p>
    <w:p>
      <w:pPr>
        <w:spacing w:after="140" w:line="276"/>
      </w:pPr>
      <w:r>
        <w:rPr>
          <w:rFonts w:ascii="Calibri" w:cs="Calibri" w:eastAsia="Calibri" w:hAnsi="Calibri"/>
          <w:sz w:val="21"/>
          <w:szCs w:val="21"/>
        </w:rPr>
        <w:t xml:space="preserve">Registration: Once the Statement of Use is approved or the Extension Request period expires with evidence of use submitted, the mark proceeds to registration and Client receives a registration certificate.</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40" w:line="276"/>
      </w:pPr>
      <w:r>
        <w:rPr>
          <w:rFonts w:ascii="Calibri" w:cs="Calibri" w:eastAsia="Calibri" w:hAnsi="Calibri"/>
          <w:sz w:val="21"/>
          <w:szCs w:val="21"/>
        </w:rPr>
        <w:t xml:space="preserve">The figures above reflect a straightforward application that does not receive an Office Action, opposition, or request for additional evidence. Any of those events will extend the timeline beyond the figures above. For Intent to Use applications, the additional time needed to prepare and submit a Statement of Use or Extension Request will further extend the overall timeline to registration. Attorney makes no guarantee of registration or of any timeframe.</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Publicity</w:t>
      </w:r>
    </w:p>
    <w:p>
      <w:pPr>
        <w:spacing w:after="140" w:line="276"/>
      </w:pPr>
      <w:r>
        <w:rPr>
          <w:rFonts w:ascii="Calibri" w:cs="Calibri" w:eastAsia="Calibri" w:hAnsi="Calibri"/>
          <w:sz w:val="21"/>
          <w:szCs w:val="21"/>
        </w:rPr>
        <w:t xml:space="preserve">By signing this agreement, Client authorizes J Brantley Law, PLLC to identify Client as a client and share the firm’s work together, including registration certificates, outcomes, and case descriptions, for marketing and business development purposes across all platforms. The Firm may use Client’s name, unless Client requests anonymity in writing, at any time. Opting out will not affect the Firm’s service or Client’s fees.</w:t>
      </w:r>
    </w:p>
    <w:p>
      <w:pPr>
        <w:spacing w:after="100" w:before="200"/>
      </w:pPr>
      <w:r>
        <w:rPr>
          <w:rFonts w:ascii="Calibri" w:cs="Calibri" w:eastAsia="Calibri" w:hAnsi="Calibri"/>
          <w:b/>
          <w:bCs/>
          <w:color w:val="1F3050"/>
          <w:sz w:val="22"/>
          <w:szCs w:val="22"/>
        </w:rPr>
        <w:t xml:space="preserve">Section 19.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2026-09-22T04:14:47.901Z</dcterms:created>
  <dcterms:modified xsi:type="dcterms:W3CDTF">2026-09-22T04:14:47.969Z</dcterms:modified>
</cp:coreProperties>
</file>

<file path=docProps/custom.xml><?xml version="1.0" encoding="utf-8"?>
<Properties xmlns="http://schemas.openxmlformats.org/officeDocument/2006/custom-properties" xmlns:vt="http://schemas.openxmlformats.org/officeDocument/2006/docPropsVTypes"/>
</file>