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File and Protect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6: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File and Protect tier of trademark services for the Proposed Mark, described below. The fee below reflects one (1) class; additional classes incur an additional charge as set out in Section 2B.</w:t>
      </w:r>
    </w:p>
    <w:p>
      <w:pPr>
        <w:spacing w:after="140" w:line="276"/>
      </w:pPr>
      <w:r>
        <w:rPr>
          <w:rFonts w:ascii="Calibri" w:cs="Calibri" w:eastAsia="Calibri" w:hAnsi="Calibri"/>
          <w:sz w:val="21"/>
          <w:szCs w:val="21"/>
        </w:rPr>
        <w:t xml:space="preserve">File and Protect: Includes the Search and Clear services above, preparation and filing of one federal trademark application for the Proposed Mark in one class of goods or services, response to one (1) non-substantive Office Action, and monitoring of the application through the initial USPTO examination stage. The USPTO filing fee of $350.00 per class is a separate government cost paid directly to the USPTO and is not included in the Attorney fee. Attorney fee: $2,000.00 + USPTO filing fee (separate government cost).</w:t>
      </w:r>
    </w:p>
    <w:p>
      <w:pPr>
        <w:spacing w:after="140" w:line="276"/>
      </w:pPr>
      <w:r>
        <w:rPr>
          <w:rFonts w:ascii="Calibri" w:cs="Calibri" w:eastAsia="Calibri" w:hAnsi="Calibri"/>
          <w:sz w:val="21"/>
          <w:szCs w:val="21"/>
        </w:rPr>
        <w:t xml:space="preserve">2A-1. Filing Basis Election: Intent to Use (Track B) Upcharge</w:t>
      </w:r>
    </w:p>
    <w:p>
      <w:pPr>
        <w:spacing w:after="140" w:line="276"/>
      </w:pPr>
      <w:r>
        <w:rPr>
          <w:rFonts w:ascii="Calibri" w:cs="Calibri" w:eastAsia="Calibri" w:hAnsi="Calibri"/>
          <w:sz w:val="21"/>
          <w:szCs w:val="21"/>
        </w:rPr>
        <w:t xml:space="preserve">The fee above assumes a "Use in Commerce" (Track A) filing basis, where Client is already selling goods or providing services under the Proposed Mark as of the filing date.</w:t>
      </w:r>
    </w:p>
    <w:p>
      <w:pPr>
        <w:spacing w:after="140" w:line="276"/>
      </w:pPr>
      <w:r>
        <w:rPr>
          <w:rFonts w:ascii="Calibri" w:cs="Calibri" w:eastAsia="Calibri" w:hAnsi="Calibri"/>
          <w:sz w:val="21"/>
          <w:szCs w:val="21"/>
        </w:rPr>
        <w:t xml:space="preserve">If Client is filing under the "Intent to Use" (Track B) basis, add the Track B upcharge of $750.00 to the elected tier fee. This additional charge covers one (1) Statement of Use or Extension Request submission, including specimen review, form preparation, and minor back-and-forth communication with Client regarding proof of use. Filing basis will be confirmed at intake based on Client’s current use status as of the filing date.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Elect the Intent to Use (Track B) upcharge ($750.00, added to the elected tier fee).</w:t>
      </w:r>
    </w:p>
    <w:p>
      <w:pPr>
        <w:spacing w:after="140" w:line="276"/>
      </w:pPr>
      <w:r>
        <w:rPr>
          <w:rFonts w:ascii="Calibri" w:cs="Calibri" w:eastAsia="Calibri" w:hAnsi="Calibri"/>
          <w:sz w:val="21"/>
          <w:szCs w:val="21"/>
        </w:rPr>
        <w:t xml:space="preserve">2B. Additional Services: Client may elect the following a la carte / add-on services.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Trademark Cease and Desist Letter or Cease and Desist Response (if Client is the recipient): $750.00 per letter. Includes applicable research, up to fifteen (15) minutes of consultation (or equivalent email correspondence) regarding the trademark use at issue, drafting of one cease and desist letter, and delivery to Client for approval before sending. Client is responsible for delivery costs (postage, courier, etc.) if not sent electronically. Limited to trademark-related cease and desist matters only. If the offending party responds or negotiation is required, that work is outside this scope and available at Attorney’s hourly rate of $250/hour, billed in quarter-hour (.25) increments, under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Non-substantive (procedural) Office Action response: $500.00 per response. Non-substantive actions address minor technical, procedural, or formatting errors — for example, unclear or miscategorized identification of goods/services, specimen issues, disclaimers, or clarifications — rather than refusing the core eligibility of the mark.</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Substantive Office Action response: $1,500.00 per response. Substantive actions refuse registration on legal grounds and challenge the core eligibility of the mark, name, logo, or slogan. If not included in Client’s elected tier, Attorney may provide this service a la carte at the current rate.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Amendment to a pro se existing filing: $1,500.00 per amendment.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Additional class(es): the fees in Section 2 cover the application in one (1) class. Additional classes are billed at $250.00 per class in attorney fees, plus the applicable USPTO filing fee per class, per application. Any request to add classes must be approved in writing by Attorney before work commences.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Rush fee: $500.00 per requested instance. Client must elect this service if applicable; if applicable but not elected, the Rush fee will be added to Client’s invoice by Attorney.</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A deposit of fifty percent (50%) of the attorney fee is due at signing and credited toward the initial milestone, with the remaining balance due prior to filing.</w:t>
      </w:r>
    </w:p>
    <w:p>
      <w:pPr>
        <w:spacing w:after="140" w:line="276"/>
      </w:pPr>
      <w:r>
        <w:rPr>
          <w:rFonts w:ascii="Calibri" w:cs="Calibri" w:eastAsia="Calibri" w:hAnsi="Calibri"/>
          <w:sz w:val="21"/>
          <w:szCs w:val="21"/>
        </w:rPr>
        <w:t xml:space="preserve">Client may also elect to pay the total elected fee above (exclusive of USPTO filing fees) in either three (3), five (5), or six (6) equal (or approximately equal) installment payments, as set forth below, instead of the deposit-and-balance schedule above. Alternate terms may be agreed upon, in writing, by the parties.</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 for add-on services.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A — 3 equal payments, at the intervals the firm sets at signing.</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B — 5 equal payments, at the intervals the firm sets at signing.</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C — 6 equal payments, at the intervals the firm sets at signing.</w:t>
      </w:r>
    </w:p>
    <w:p>
      <w:pPr>
        <w:spacing w:after="140" w:line="276"/>
      </w:pPr>
      <w:r>
        <w:rPr>
          <w:rFonts w:ascii="Calibri" w:cs="Calibri" w:eastAsia="Calibri" w:hAnsi="Calibri"/>
          <w:sz w:val="21"/>
          <w:szCs w:val="21"/>
        </w:rPr>
        <w:t xml:space="preserve">Automatic Billing: Client authorizes automatic electronic debit of each installment from the payment method on file, at the intervals set forth in the elected Installment Plan above. Client also authorizes automatic billing of any card on file for amounts due under this Agreement. Where no card is on file, a late fee of 1.5% per month (maximum 18% per annum) applies to any balance not paid within seven (7) days of invoicing. Attorney reserves the right to suspend services for any account with a past-due balance.</w:t>
      </w:r>
    </w:p>
    <w:p>
      <w:pPr>
        <w:spacing w:after="140" w:line="276"/>
      </w:pPr>
      <w:r>
        <w:rPr>
          <w:rFonts w:ascii="Calibri" w:cs="Calibri" w:eastAsia="Calibri" w:hAnsi="Calibri"/>
          <w:sz w:val="21"/>
          <w:szCs w:val="21"/>
        </w:rPr>
        <w:t xml:space="preserve">Deposits for Intent to Use (Track B) Filings: If Client has elected the Intent to Use (Track B) upcharge under Section 2A-1, the deposit of fifty percent (50%) shall be calculated on the total of the elected tier fee plus the Track B upcharge. If Client has elected an installment plan, the Track B upcharge will be included in the installment payment calculations.</w:t>
      </w:r>
    </w:p>
    <w:p>
      <w:pPr>
        <w:spacing w:after="140" w:line="276"/>
      </w:pPr>
      <w:r>
        <w:rPr>
          <w:rFonts w:ascii="Calibri" w:cs="Calibri" w:eastAsia="Calibri" w:hAnsi="Calibri"/>
          <w:sz w:val="21"/>
          <w:szCs w:val="21"/>
        </w:rPr>
        <w:t xml:space="preserve">USPTO filing fees are government costs, are not eligible for the installment plan, and are due in full prior to filing.</w:t>
      </w:r>
    </w:p>
    <w:p>
      <w:pPr>
        <w:spacing w:after="140" w:line="276"/>
      </w:pPr>
      <w:r>
        <w:rPr>
          <w:rFonts w:ascii="Calibri" w:cs="Calibri" w:eastAsia="Calibri" w:hAnsi="Calibri"/>
          <w:sz w:val="21"/>
          <w:szCs w:val="21"/>
        </w:rPr>
        <w:t xml:space="preserve">Invoices for any services outside the elected tier are due within seven (7) days of the invoice date.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First Portion (Search and Opinion): $500.00 (the Search and Clear fee) is earned upon Attorney’s completion of the trademark search, analysis, and delivery of the written clearance opinion to Client. If Attorney has already completed the search and delivered the written clearance opinion prior to this Agreement’s execution, this portion is earned upon execution of this Agreement and Client’s payment.</w:t>
      </w:r>
    </w:p>
    <w:p>
      <w:pPr>
        <w:spacing w:after="140" w:line="276"/>
      </w:pPr>
      <w:r>
        <w:rPr>
          <w:rFonts w:ascii="Calibri" w:cs="Calibri" w:eastAsia="Calibri" w:hAnsi="Calibri"/>
          <w:sz w:val="21"/>
          <w:szCs w:val="21"/>
        </w:rPr>
        <w:t xml:space="preserve">Second Portion (Filing): The remaining $1,500.00 is earned upon Attorney’s preparation and delivery of the draft application to Client. This portion is earned regardless of whether Client elects to proceed with filing. If Client terminates this engagement after receiving the draft application, Client remains responsible for the full amount for work performed in preparing the application.</w:t>
      </w:r>
    </w:p>
    <w:p>
      <w:pPr>
        <w:spacing w:after="140" w:line="276"/>
      </w:pPr>
      <w:r>
        <w:rPr>
          <w:rFonts w:ascii="Calibri" w:cs="Calibri" w:eastAsia="Calibri" w:hAnsi="Calibri"/>
          <w:sz w:val="21"/>
          <w:szCs w:val="21"/>
        </w:rPr>
        <w:t xml:space="preserve">Third Portion (Track B Statement of Use or Extension Request) [if the Track B upcharge is elected]: The $750.00 Track B upcharge is earned upon Attorney’s preparation and delivery of the draft Statement of Use or Extension Request to Client for review and approval. This fee is earned regardless of whether Client’s evidence of use is ultimately accepted by the USPTO or whether Client elects to proceed with filing the Extension Request.</w:t>
      </w:r>
    </w:p>
    <w:p>
      <w:pPr>
        <w:spacing w:after="140" w:line="276"/>
      </w:pPr>
      <w:r>
        <w:rPr>
          <w:rFonts w:ascii="Calibri" w:cs="Calibri" w:eastAsia="Calibri" w:hAnsi="Calibri"/>
          <w:sz w:val="21"/>
          <w:szCs w:val="21"/>
        </w:rPr>
        <w:t xml:space="preserve">Application Revisions: One (1) revision to the draft application prior to filing is included at no additional charge. Revisions include modifications to goods/services descriptions, specimen updates, or other substantive changes to the application based on Client feedback. Additional revisions beyond the first are billed at Attorney’s hourly rate of $250/hour in quarter-hour increments.</w:t>
      </w:r>
    </w:p>
    <w:p>
      <w:pPr>
        <w:spacing w:after="140" w:line="276"/>
      </w:pPr>
      <w:r>
        <w:rPr>
          <w:rFonts w:ascii="Calibri" w:cs="Calibri" w:eastAsia="Calibri" w:hAnsi="Calibri"/>
          <w:sz w:val="21"/>
          <w:szCs w:val="21"/>
        </w:rPr>
        <w:t xml:space="preserve">Amendments to Filed Application: One (1) amendment to the filed application is included in the elected fee. Amendments include responses to Office Actions requiring minor changes such as disclaimers, amendments to the description of goods or services, or non-substantive updates requested by the USPTO. Additional amendments beyond the first are billed at Attorney’s hourly rate of $250/hour in quarter-hour increments. Amendments that require substantial reworking of the application or responses to final or complex Office Actions are billed separately and require a separate written fee agreement.</w:t>
      </w:r>
    </w:p>
    <w:p>
      <w:pPr>
        <w:spacing w:after="140" w:line="276"/>
      </w:pPr>
      <w:r>
        <w:rPr>
          <w:rFonts w:ascii="Calibri" w:cs="Calibri" w:eastAsia="Calibri" w:hAnsi="Calibri"/>
          <w:sz w:val="21"/>
          <w:szCs w:val="21"/>
        </w:rPr>
        <w:t xml:space="preserve">Completion of Milestones: Upon completion of each milestone, Attorney shall transfer the earned portion from the IOLTA trust account to Attorney’s operating account. Client shall receive written notice when each milestone is reached and funds are transferred.</w:t>
      </w:r>
    </w:p>
    <w:p>
      <w:pPr>
        <w:spacing w:after="140" w:line="276"/>
      </w:pPr>
      <w:r>
        <w:rPr>
          <w:rFonts w:ascii="Calibri" w:cs="Calibri" w:eastAsia="Calibri" w:hAnsi="Calibri"/>
          <w:sz w:val="21"/>
          <w:szCs w:val="21"/>
        </w:rPr>
        <w:t xml:space="preserve">Termination by Client: If Client terminates this engagement after Attorney has prepared and delivered the draft application to Client, all fees earned through application preparation remain due and payable, whether or not Client elects to file the application with the USPTO. Client may terminate prior to receiving the draft application; however, termination after delivery of the draft application does not reduce Client’s obligation for the preparation work completed. If Client terminates before the draft application is delivered, Attorney may charge Client a reasonable hourly rate (not to exceed $250/hour) for work performed to date, not to exceed fifty percent of the fee for the elected tier, and shall refund any remaining balance within fourteen (14) days.</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40" w:line="276"/>
      </w:pPr>
      <w:r>
        <w:rPr>
          <w:rFonts w:ascii="Calibri" w:cs="Calibri" w:eastAsia="Calibri" w:hAnsi="Calibri"/>
          <w:sz w:val="21"/>
          <w:szCs w:val="21"/>
        </w:rPr>
        <w:t xml:space="preserve">Communication Deadlines: When Attorney sends Client a material communication requiring Client’s response (including requests for approval of draft applications, payment authorization, or clarification of project scope), Client has ten (10) business days to respond. Response means written communication back to Attorney addressing the specific request. Silence or failure to respond is treated as a breach of this engagement’s communication requirement.</w:t>
      </w:r>
    </w:p>
    <w:p>
      <w:pPr>
        <w:spacing w:after="140" w:line="276"/>
      </w:pPr>
      <w:r>
        <w:rPr>
          <w:rFonts w:ascii="Calibri" w:cs="Calibri" w:eastAsia="Calibri" w:hAnsi="Calibri"/>
          <w:sz w:val="21"/>
          <w:szCs w:val="21"/>
        </w:rPr>
        <w:t xml:space="preserve">If Client does not respond within ten (10) business days: on Day 10, Attorney will send a follow-up reminder email, restating the original request and extending the deadline to Day 15 (an additional five (5) business days). If Client has not responded by Day 15, Attorney may, at Attorney’s sole discretion, (a) proceed with the engagement based on Attorney’s professional judgment regarding the matter at issue, with Client remaining liable for all fees incurred and Attorney not responsible for any consequences of Client’s non-participation, or (b) terminate this engagement for material breach (Client’s failure to cooperate and communicate), with Client responsible for all fees incurred through termination as described above.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Deliverables and Acceptance: Attorney will communicate the anticipated completion timeline for each elected deliverable directly with Client during representation. Client has ten (10) business days from the date of delivery of any deliverable to review and object in writing to its contents. The ten-business-day clock runs from the delivery date. Absent a timely written objection, the deliverable is deemed accepted.</w:t>
      </w:r>
    </w:p>
    <w:p>
      <w:pPr>
        <w:spacing w:after="140" w:line="276"/>
      </w:pPr>
      <w:r>
        <w:rPr>
          <w:rFonts w:ascii="Calibri" w:cs="Calibri" w:eastAsia="Calibri" w:hAnsi="Calibri"/>
          <w:sz w:val="21"/>
          <w:szCs w:val="21"/>
        </w:rPr>
        <w:t xml:space="preserve">Client-Provided Research and Artificial Intelligence (AI) Materials: Review of client-supplied research, internet materials, social media content, or artificial intelligence-generated information is outside the defined scope of legal services described in this Agreement unless Attorney determines such review is reasonably necessary to advance Client’s legal objectives. Any review, analysis, verification, or response to such materials will be undertaken solely at Attorney’s discretion and will constitute billable legal work. Such time will be billed at Attorney’s standard hourly rate or, in flat-fee matters, as an additional fee separate from and not included in the flat fee. Attorney is not obligated to advance arguments, cite authorities, or incorporate materials that Attorney determines to be inaccurate, unsupported, strategically unsound, or inconsistent with applicable law or ethical obligations.</w:t>
      </w:r>
    </w:p>
    <w:p>
      <w:pPr>
        <w:spacing w:after="140" w:line="276"/>
      </w:pPr>
      <w:r>
        <w:rPr>
          <w:rFonts w:ascii="Calibri" w:cs="Calibri" w:eastAsia="Calibri" w:hAnsi="Calibri"/>
          <w:sz w:val="21"/>
          <w:szCs w:val="21"/>
        </w:rPr>
        <w:t xml:space="preserve">WARNING: use of AI and search engine prompts and queries related to your matter may constitute waiver of attorney-client privilege and confidentiality of such information and documents, which may be discoverable and used against you. AI and search engines are not attorneys and may not owe you any duty of confidentiality or privilege protections.</w:t>
      </w:r>
    </w:p>
    <w:p>
      <w:pPr>
        <w:spacing w:after="100" w:before="200"/>
      </w:pPr>
      <w:r>
        <w:rPr>
          <w:rFonts w:ascii="Calibri" w:cs="Calibri" w:eastAsia="Calibri" w:hAnsi="Calibri"/>
          <w:b/>
          <w:bCs/>
          <w:color w:val="1F3050"/>
          <w:sz w:val="22"/>
          <w:szCs w:val="22"/>
        </w:rPr>
        <w:t xml:space="preserve">Section 6. Power of Attorney</w:t>
      </w:r>
    </w:p>
    <w:p>
      <w:pPr>
        <w:spacing w:after="140" w:line="276"/>
      </w:pPr>
      <w:r>
        <w:rPr>
          <w:rFonts w:ascii="Calibri" w:cs="Calibri" w:eastAsia="Calibri" w:hAnsi="Calibri"/>
          <w:sz w:val="21"/>
          <w:szCs w:val="21"/>
        </w:rPr>
        <w:t xml:space="preserve">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 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w:t>
      </w:r>
    </w:p>
    <w:p>
      <w:pPr>
        <w:spacing w:after="140" w:line="276"/>
      </w:pPr>
      <w:r>
        <w:rPr>
          <w:rFonts w:ascii="Calibri" w:cs="Calibri" w:eastAsia="Calibri" w:hAnsi="Calibri"/>
          <w:sz w:val="21"/>
          <w:szCs w:val="21"/>
        </w:rPr>
        <w:t xml:space="preserve">Registration Timeline for Use in Commerce (Track A)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Registration: If no opposition is filed and the application is based on use in commerce, the mark proceeds to registration and Client receives a registration certificate.</w:t>
      </w:r>
    </w:p>
    <w:p>
      <w:pPr>
        <w:spacing w:after="140" w:line="276"/>
      </w:pPr>
      <w:r>
        <w:rPr>
          <w:rFonts w:ascii="Calibri" w:cs="Calibri" w:eastAsia="Calibri" w:hAnsi="Calibri"/>
          <w:sz w:val="21"/>
          <w:szCs w:val="21"/>
        </w:rPr>
        <w:t xml:space="preserve">Registration Timeline for Intent to Use (Track B)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 (File and Protect or Full Shield).</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Notice of Allowance: If no opposition is filed and the application is based on intent to use, the USPTO issues a Notice of Allowance. Client must then submit evidence that Client is using the mark in commerce (a Statement of Use), or file an Extension Request if Client is not yet ready to use the mark.</w:t>
      </w:r>
    </w:p>
    <w:p>
      <w:pPr>
        <w:pStyle w:val="ListParagraph"/>
        <w:numPr>
          <w:ilvl w:val="0"/>
          <w:numId w:val="1"/>
        </w:numPr>
        <w:spacing w:after="140" w:line="276"/>
      </w:pPr>
      <w:r>
        <w:rPr>
          <w:rFonts w:ascii="Calibri" w:cs="Calibri" w:eastAsia="Calibri" w:hAnsi="Calibri"/>
          <w:sz w:val="21"/>
          <w:szCs w:val="21"/>
        </w:rPr>
        <w:t xml:space="preserve">Statement of Use or Extension Request: If Client has elected the File and Protect or Full Shield tier with the Track B upcharge, Attorney will assist with one (1) Statement of Use or Extension Request submission, including review of Client’s specimens and submission to the USPTO. The Track B upcharge covers this work.</w:t>
      </w:r>
    </w:p>
    <w:p>
      <w:pPr>
        <w:spacing w:after="140" w:line="276"/>
      </w:pPr>
      <w:r>
        <w:rPr>
          <w:rFonts w:ascii="Calibri" w:cs="Calibri" w:eastAsia="Calibri" w:hAnsi="Calibri"/>
          <w:sz w:val="21"/>
          <w:szCs w:val="21"/>
        </w:rPr>
        <w:t xml:space="preserve">If Client is on a Search and File engagement (which does not include Track B services), Client is responsible for independently submitting the Statement of Use or Extension Request to the USPTO or engaging separate counsel.</w:t>
      </w:r>
    </w:p>
    <w:p>
      <w:pPr>
        <w:spacing w:after="140" w:line="276"/>
      </w:pPr>
      <w:r>
        <w:rPr>
          <w:rFonts w:ascii="Calibri" w:cs="Calibri" w:eastAsia="Calibri" w:hAnsi="Calibri"/>
          <w:sz w:val="21"/>
          <w:szCs w:val="21"/>
        </w:rPr>
        <w:t xml:space="preserve">USPTO Government Fees for Evidence Submission: The Statement of Use or Extension Request requires a separate USPTO government filing fee. This government fee is separate from Attorney’s Track B upcharge and is due at the time of submission to the USPTO. If Client needs more than one Extension Request before becoming ready to use the mark in commerce, additional Extension Requests beyond the first will be billed at Attorney’s hourly rate in quarter-hour increments, in addition to the applicable USPTO government filing fee for each submission.</w:t>
      </w:r>
    </w:p>
    <w:p>
      <w:pPr>
        <w:spacing w:after="140" w:line="276"/>
      </w:pPr>
      <w:r>
        <w:rPr>
          <w:rFonts w:ascii="Calibri" w:cs="Calibri" w:eastAsia="Calibri" w:hAnsi="Calibri"/>
          <w:sz w:val="21"/>
          <w:szCs w:val="21"/>
        </w:rPr>
        <w:t xml:space="preserve">Registration: Once the Statement of Use is approved or the Extension Request period expires with evidence of use submitted, the mark proceeds to registration and Client receives a registration certificate.</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40" w:line="276"/>
      </w:pPr>
      <w:r>
        <w:rPr>
          <w:rFonts w:ascii="Calibri" w:cs="Calibri" w:eastAsia="Calibri" w:hAnsi="Calibri"/>
          <w:sz w:val="21"/>
          <w:szCs w:val="21"/>
        </w:rPr>
        <w:t xml:space="preserve">The figures above reflect a straightforward application that does not receive an Office Action, opposition, or request for additional evidence. Any of those events will extend the timeline beyond the figures above. For Intent to Use applications, the additional time needed to prepare and submit a Statement of Use or Extension Request will further extend the overall timeline to registration. Attorney makes no guarantee of registration or of any timeframe.</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Publicity</w:t>
      </w:r>
    </w:p>
    <w:p>
      <w:pPr>
        <w:spacing w:after="140" w:line="276"/>
      </w:pPr>
      <w:r>
        <w:rPr>
          <w:rFonts w:ascii="Calibri" w:cs="Calibri" w:eastAsia="Calibri" w:hAnsi="Calibri"/>
          <w:sz w:val="21"/>
          <w:szCs w:val="21"/>
        </w:rPr>
        <w:t xml:space="preserve">By signing this agreement, Client authorizes J Brantley Law, PLLC to identify Client as a client and share the firm’s work together, including registration certificates, outcomes, and case descriptions, for marketing and business development purposes across all platforms. The Firm may use Client’s name, unless Client requests anonymity in writing, at any time. Opting out will not affect the Firm’s service or Client’s fees.</w:t>
      </w:r>
    </w:p>
    <w:p>
      <w:pPr>
        <w:spacing w:after="100" w:before="200"/>
      </w:pPr>
      <w:r>
        <w:rPr>
          <w:rFonts w:ascii="Calibri" w:cs="Calibri" w:eastAsia="Calibri" w:hAnsi="Calibri"/>
          <w:b/>
          <w:bCs/>
          <w:color w:val="1F3050"/>
          <w:sz w:val="22"/>
          <w:szCs w:val="22"/>
        </w:rPr>
        <w:t xml:space="preserve">Section 19.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2026-09-22T04:14:48.163Z</dcterms:created>
  <dcterms:modified xsi:type="dcterms:W3CDTF">2026-09-22T04:14:48.163Z</dcterms:modified>
</cp:coreProperties>
</file>

<file path=docProps/custom.xml><?xml version="1.0" encoding="utf-8"?>
<Properties xmlns="http://schemas.openxmlformats.org/officeDocument/2006/custom-properties" xmlns:vt="http://schemas.openxmlformats.org/officeDocument/2006/docPropsVTypes"/>
</file>