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Trademark Engagement Agreement — Search and Clear</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choosing J Brantley Law, PLLC for representation in the matters described below. This letter sets forth the terms of engagement between the Firm and Client, in their individual capacity ("Client"), regarding trademark registration services for {{answers.mark_name}} (the "Proposed Mark") (or a single, alternate mark should the chosen mark be unavailable). Please note that this proposal expires seven (7) business days from date of issuance.</w:t>
      </w:r>
    </w:p>
    <w:p>
      <w:pPr>
        <w:spacing w:after="100" w:before="200"/>
      </w:pPr>
      <w:r>
        <w:rPr>
          <w:rFonts w:ascii="Calibri" w:cs="Calibri" w:eastAsia="Calibri" w:hAnsi="Calibri"/>
          <w:b/>
          <w:bCs/>
          <w:color w:val="1F3050"/>
          <w:sz w:val="22"/>
          <w:szCs w:val="22"/>
        </w:rPr>
        <w:t xml:space="preserve">Section 1. Scope of Representation</w:t>
      </w:r>
    </w:p>
    <w:p>
      <w:pPr>
        <w:spacing w:after="140" w:line="276"/>
      </w:pPr>
      <w:r>
        <w:rPr>
          <w:rFonts w:ascii="Calibri" w:cs="Calibri" w:eastAsia="Calibri" w:hAnsi="Calibri"/>
          <w:sz w:val="21"/>
          <w:szCs w:val="21"/>
        </w:rPr>
        <w:t xml:space="preserve">This engagement is limited to the services elected below. No other services are included in this engagement unless set forth in a separate written agreement signed by Attorney and Client.</w:t>
      </w:r>
    </w:p>
    <w:p>
      <w:pPr>
        <w:spacing w:after="140" w:line="276"/>
      </w:pPr>
      <w:r>
        <w:rPr>
          <w:rFonts w:ascii="Calibri" w:cs="Calibri" w:eastAsia="Calibri" w:hAnsi="Calibri"/>
          <w:sz w:val="21"/>
          <w:szCs w:val="21"/>
        </w:rPr>
        <w:t xml:space="preserve">The following are outside the scope of this engagement unless separately elected in writing: application tiers or classes not elected in this agreement, trademark litigation, opposition, or cancellation proceedings; patent prosecution, including design patents; copyright registration; state trademark filings; international or Madrid Protocol filings; and any matter not expressly described and elected in Section 2, below.</w:t>
      </w:r>
    </w:p>
    <w:p>
      <w:pPr>
        <w:spacing w:after="140" w:line="276"/>
      </w:pPr>
      <w:r>
        <w:rPr>
          <w:rFonts w:ascii="Calibri" w:cs="Calibri" w:eastAsia="Calibri" w:hAnsi="Calibri"/>
          <w:sz w:val="21"/>
          <w:szCs w:val="21"/>
        </w:rPr>
        <w:t xml:space="preserve">Client’s driver’s license number and state of issuance, provided in connection with the Power of Attorney granted in Section 5: {{answers.drivers_license}}.</w:t>
      </w:r>
    </w:p>
    <w:p>
      <w:pPr>
        <w:spacing w:after="100" w:before="200"/>
      </w:pPr>
      <w:r>
        <w:rPr>
          <w:rFonts w:ascii="Calibri" w:cs="Calibri" w:eastAsia="Calibri" w:hAnsi="Calibri"/>
          <w:b/>
          <w:bCs/>
          <w:color w:val="1F3050"/>
          <w:sz w:val="22"/>
          <w:szCs w:val="22"/>
        </w:rPr>
        <w:t xml:space="preserve">Section 2. Trademark Services and Fee Election</w:t>
      </w:r>
    </w:p>
    <w:p>
      <w:pPr>
        <w:spacing w:after="140" w:line="276"/>
      </w:pPr>
      <w:r>
        <w:rPr>
          <w:rFonts w:ascii="Calibri" w:cs="Calibri" w:eastAsia="Calibri" w:hAnsi="Calibri"/>
          <w:sz w:val="21"/>
          <w:szCs w:val="21"/>
        </w:rPr>
        <w:t xml:space="preserve">2A. Tier Election: Client elects the Search and Clear tier of trademark services for the Proposed Mark, described below.</w:t>
      </w:r>
    </w:p>
    <w:p>
      <w:pPr>
        <w:spacing w:after="140" w:line="276"/>
      </w:pPr>
      <w:r>
        <w:rPr>
          <w:rFonts w:ascii="Calibri" w:cs="Calibri" w:eastAsia="Calibri" w:hAnsi="Calibri"/>
          <w:sz w:val="21"/>
          <w:szCs w:val="21"/>
        </w:rPr>
        <w:t xml:space="preserve">Search and Clear: Comprehensive knockout and clearance search for the Proposed Mark, with a written risk assessment. This option does not include preparation or filing of a federal trademark application. Attorney fee: $300.00.</w:t>
      </w:r>
    </w:p>
    <w:p>
      <w:pPr>
        <w:spacing w:after="140" w:line="276"/>
      </w:pPr>
      <w:r>
        <w:rPr>
          <w:rFonts w:ascii="Calibri" w:cs="Calibri" w:eastAsia="Calibri" w:hAnsi="Calibri"/>
          <w:sz w:val="21"/>
          <w:szCs w:val="21"/>
        </w:rPr>
        <w:t xml:space="preserve">Note on Additional Classes: The fees in this engagement cover the application in one (1) class. If Client wishes to add classes to any application, additional search, clearance analysis, and filing fees will apply. Additional classes will be billed at $200 per class in attorney fees, plus the applicable USPTO filing fee per class, per application. Any request to add classes must be approved in writing by Attorney prior to work commencing.</w:t>
      </w:r>
    </w:p>
    <w:p>
      <w:pPr>
        <w:spacing w:after="140" w:line="276"/>
      </w:pPr>
      <w:r>
        <w:rPr>
          <w:rFonts w:ascii="Calibri" w:cs="Calibri" w:eastAsia="Calibri" w:hAnsi="Calibri"/>
          <w:sz w:val="21"/>
          <w:szCs w:val="21"/>
        </w:rPr>
        <w:t xml:space="preserve">If Client initially elects Search and Clear and later wishes to proceed with a trademark application filing, Client may upgrade to Search and File, File and Protect or Full Shield by executing a separate written addendum or amended engagement letter.</w:t>
      </w:r>
    </w:p>
    <w:p>
      <w:pPr>
        <w:spacing w:after="140" w:line="276"/>
      </w:pPr>
      <w:r>
        <w:rPr>
          <w:rFonts w:ascii="Calibri" w:cs="Calibri" w:eastAsia="Calibri" w:hAnsi="Calibri"/>
          <w:sz w:val="21"/>
          <w:szCs w:val="21"/>
        </w:rPr>
        <w:t xml:space="preserve">Upgrade Timeline and Search Validity: Client must elect to upgrade within sixty (60) days of Attorney’s delivery of the written clearance opinion. The clearance opinion and search results remain valid for upgrade purposes during this sixty-day period. If Client elects to upgrade after sixty (60) days have passed, or if there is a material delay in Client’s decision to file, Attorney may recommend a new knockout and clearance search to ensure the search results remain current and accurate. Any new search required due to elapsed time or material delay shall be billed at the rate of $300.00 for Search and Clear or as a separate scope adjustment to the engagement.</w:t>
      </w:r>
    </w:p>
    <w:p>
      <w:pPr>
        <w:spacing w:after="140" w:line="276"/>
      </w:pPr>
      <w:r>
        <w:rPr>
          <w:rFonts w:ascii="Calibri" w:cs="Calibri" w:eastAsia="Calibri" w:hAnsi="Calibri"/>
          <w:sz w:val="21"/>
          <w:szCs w:val="21"/>
        </w:rPr>
        <w:t xml:space="preserve">Different Mark: If Client wishes to upgrade but intends to use a mark different from the mark that was the subject of the initial Search and Clear opinion, a new clearance search for the alternate mark is required. The Search and Clear fee paid for the original mark shall not be credited toward the new search. Client must elect to conduct a new search for the alternate mark and pay the applicable Search and Clear fee before proceeding to upgrade to a filing tier for that alternate mark.</w:t>
      </w:r>
    </w:p>
    <w:p>
      <w:pPr>
        <w:spacing w:after="140" w:line="276"/>
      </w:pPr>
      <w:r>
        <w:rPr>
          <w:rFonts w:ascii="Calibri" w:cs="Calibri" w:eastAsia="Calibri" w:hAnsi="Calibri"/>
          <w:sz w:val="21"/>
          <w:szCs w:val="21"/>
        </w:rPr>
        <w:t xml:space="preserve">Fee Credit: The Search and Clear fee of $300.00 paid by Client shall be credited dollar-for-dollar toward the initial milestone of the upgraded tier as follows:</w:t>
      </w:r>
    </w:p>
    <w:p>
      <w:pPr>
        <w:pStyle w:val="ListParagraph"/>
        <w:numPr>
          <w:ilvl w:val="0"/>
          <w:numId w:val="1"/>
        </w:numPr>
        <w:spacing w:after="140" w:line="276"/>
      </w:pPr>
      <w:r>
        <w:rPr>
          <w:rFonts w:ascii="Calibri" w:cs="Calibri" w:eastAsia="Calibri" w:hAnsi="Calibri"/>
          <w:sz w:val="21"/>
          <w:szCs w:val="21"/>
        </w:rPr>
        <w:t xml:space="preserve">Upgrade to Search and File: The $300.00 Search and Clear fee is credited toward the first milestone of Search and File. Client shall pay an additional $800.00 to satisfy the full fee ($1,100.00 total) for Search and File, plus applicable USPTO filing fees.</w:t>
      </w:r>
    </w:p>
    <w:p>
      <w:pPr>
        <w:pStyle w:val="ListParagraph"/>
        <w:numPr>
          <w:ilvl w:val="0"/>
          <w:numId w:val="1"/>
        </w:numPr>
        <w:spacing w:after="140" w:line="276"/>
      </w:pPr>
      <w:r>
        <w:rPr>
          <w:rFonts w:ascii="Calibri" w:cs="Calibri" w:eastAsia="Calibri" w:hAnsi="Calibri"/>
          <w:sz w:val="21"/>
          <w:szCs w:val="21"/>
        </w:rPr>
        <w:t xml:space="preserve">Upgrade to File and Protect: The $300.00 Search and Clear fee is credited toward the first milestone of File and Protect. Client shall pay an additional $1,500.00 to satisfy the full fee ($1,800.00 total) for File and Protect, plus applicable USPTO filing fees.</w:t>
      </w:r>
    </w:p>
    <w:p>
      <w:pPr>
        <w:pStyle w:val="ListParagraph"/>
        <w:numPr>
          <w:ilvl w:val="0"/>
          <w:numId w:val="1"/>
        </w:numPr>
        <w:spacing w:after="140" w:line="276"/>
      </w:pPr>
      <w:r>
        <w:rPr>
          <w:rFonts w:ascii="Calibri" w:cs="Calibri" w:eastAsia="Calibri" w:hAnsi="Calibri"/>
          <w:sz w:val="21"/>
          <w:szCs w:val="21"/>
        </w:rPr>
        <w:t xml:space="preserve">Upgrade to Full Shield: The $300.00 Search and Clear fee is credited toward the first milestone of Full Shield. Client shall pay an additional $1,900.00 to satisfy the full fee for Full Shield ($2,200.00 total), plus applicable USPTO filing fees.</w:t>
      </w:r>
    </w:p>
    <w:p>
      <w:pPr>
        <w:spacing w:after="140" w:line="276"/>
      </w:pPr>
      <w:r>
        <w:rPr>
          <w:rFonts w:ascii="Calibri" w:cs="Calibri" w:eastAsia="Calibri" w:hAnsi="Calibri"/>
          <w:sz w:val="21"/>
          <w:szCs w:val="21"/>
        </w:rPr>
        <w:t xml:space="preserve">Upgrade to a filing tier requires a separate written addendum to this Agreement or a fully executed amended engagement letter setting forth the upgraded tier, the specific mark to be filed, any revised payment terms, and the new fee earning milestones. No work beyond the initial clearance search shall commence under the upgraded tier until the upgrade agreement is fully executed and any additional fees are received.</w:t>
      </w:r>
    </w:p>
    <w:p>
      <w:pPr>
        <w:spacing w:after="140" w:line="276"/>
      </w:pPr>
      <w:r>
        <w:rPr>
          <w:rFonts w:ascii="Calibri" w:cs="Calibri" w:eastAsia="Calibri" w:hAnsi="Calibri"/>
          <w:sz w:val="21"/>
          <w:szCs w:val="21"/>
        </w:rPr>
        <w:t xml:space="preserve">2B. Optional Add-On Services: Client may elect the following add-on service.</w:t>
      </w:r>
    </w:p>
    <w:p>
      <w:pPr>
        <w:spacing w:after="140" w:line="276"/>
      </w:pPr>
      <w:r>
        <w:rPr>
          <w:rFonts w:ascii="Calibri" w:cs="Calibri" w:eastAsia="Calibri" w:hAnsi="Calibri"/>
          <w:sz w:val="21"/>
          <w:szCs w:val="21"/>
        </w:rPr>
        <w:t xml:space="preserve">Trademark Cease and Desist Letter: $300.00 per letter. This includes consultation with Attorney (not to exceed fifteen (15) minutes or equivalent email correspondence) regarding the trademark use at issue, drafting of one cease and desist letter on Client’s behalf, and delivery to Client for Client’s approval prior to sending. Client is responsible for all costs associated with delivery of the letter (postage, courier, etc.). This service is limited to trademark-related cease and desist matters only. If the offending party responds or negotiation is required, Attorney shall notify Client that additional work is outside this scope. Client may elect to proceed with follow-up representation at Attorney’s hourly rate of $250/hour, billed in quarter-hour (.25) increments, subject to a separate written fee agreement.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Elect the Trademark Cease and Desist Letter add-on ($300.00 per letter).</w:t>
      </w:r>
    </w:p>
    <w:p>
      <w:pPr>
        <w:spacing w:after="100" w:before="200"/>
      </w:pPr>
      <w:r>
        <w:rPr>
          <w:rFonts w:ascii="Calibri" w:cs="Calibri" w:eastAsia="Calibri" w:hAnsi="Calibri"/>
          <w:b/>
          <w:bCs/>
          <w:color w:val="1F3050"/>
          <w:sz w:val="22"/>
          <w:szCs w:val="22"/>
        </w:rPr>
        <w:t xml:space="preserve">Section 3. Fees, Billing, and Payment Terms</w:t>
      </w:r>
    </w:p>
    <w:p>
      <w:pPr>
        <w:spacing w:after="140" w:line="276"/>
      </w:pPr>
      <w:r>
        <w:rPr>
          <w:rFonts w:ascii="Calibri" w:cs="Calibri" w:eastAsia="Calibri" w:hAnsi="Calibri"/>
          <w:sz w:val="21"/>
          <w:szCs w:val="21"/>
        </w:rPr>
        <w:t xml:space="preserve">Deposit</w:t>
      </w:r>
    </w:p>
    <w:p>
      <w:pPr>
        <w:spacing w:after="140" w:line="276"/>
      </w:pPr>
      <w:r>
        <w:rPr>
          <w:rFonts w:ascii="Calibri" w:cs="Calibri" w:eastAsia="Calibri" w:hAnsi="Calibri"/>
          <w:sz w:val="21"/>
          <w:szCs w:val="21"/>
        </w:rPr>
        <w:t xml:space="preserve">Full payment ($300.00) is due at signing and held in trust until delivery of the written clearance opinion.</w:t>
      </w:r>
    </w:p>
    <w:p>
      <w:pPr>
        <w:spacing w:after="140" w:line="276"/>
      </w:pPr>
      <w:r>
        <w:rPr>
          <w:rFonts w:ascii="Calibri" w:cs="Calibri" w:eastAsia="Calibri" w:hAnsi="Calibri"/>
          <w:sz w:val="21"/>
          <w:szCs w:val="21"/>
        </w:rPr>
        <w:t xml:space="preserve">Optional add-on services elected at signing are invoiced upon completion and are due in full within seven (7) days of invoice date. No installment plans are available.</w:t>
      </w:r>
    </w:p>
    <w:p>
      <w:pPr>
        <w:spacing w:after="140" w:line="276"/>
      </w:pPr>
      <w:r>
        <w:rPr>
          <w:rFonts w:ascii="Calibri" w:cs="Calibri" w:eastAsia="Calibri" w:hAnsi="Calibri"/>
          <w:sz w:val="21"/>
          <w:szCs w:val="21"/>
        </w:rPr>
        <w:t xml:space="preserve">Invoices for any services outside the elected tiers are due within seven (7) days of the invoice date.</w:t>
      </w:r>
    </w:p>
    <w:p>
      <w:pPr>
        <w:spacing w:after="140" w:line="276"/>
      </w:pPr>
      <w:r>
        <w:rPr>
          <w:rFonts w:ascii="Calibri" w:cs="Calibri" w:eastAsia="Calibri" w:hAnsi="Calibri"/>
          <w:sz w:val="21"/>
          <w:szCs w:val="21"/>
        </w:rPr>
        <w:t xml:space="preserve">Client authorizes automatic billing of any card on file for amounts due under this Agreement. Where no card is on file, a late fee of 1.5% per month (maximum 18% per annum) applies to any balance not paid within seven (7) days of invoicing. Attorney reserves the right to suspend services for any account with a past-due balance.</w:t>
      </w:r>
    </w:p>
    <w:p>
      <w:pPr>
        <w:spacing w:after="140" w:line="276"/>
      </w:pPr>
      <w:r>
        <w:rPr>
          <w:rFonts w:ascii="Calibri" w:cs="Calibri" w:eastAsia="Calibri" w:hAnsi="Calibri"/>
          <w:sz w:val="21"/>
          <w:szCs w:val="21"/>
        </w:rPr>
        <w:t xml:space="preserve">Fee Earning Milestones: Attorney’s fees are held in Client’s IOLTA trust account upon receipt and are earned according to the following milestones:</w:t>
      </w:r>
    </w:p>
    <w:p>
      <w:pPr>
        <w:spacing w:after="140" w:line="276"/>
      </w:pPr>
      <w:r>
        <w:rPr>
          <w:rFonts w:ascii="Calibri" w:cs="Calibri" w:eastAsia="Calibri" w:hAnsi="Calibri"/>
          <w:sz w:val="21"/>
          <w:szCs w:val="21"/>
        </w:rPr>
        <w:t xml:space="preserve">The full fee ($300.00) is earned in full upon Attorney’s completion of the clearance search and delivery of the written clearance opinion to Client. If Attorney has already completed the search and clearance check prior to this Agreement’s execution, the full fee is earned upon execution of this Agreement and Client’s payment.</w:t>
      </w:r>
    </w:p>
    <w:p>
      <w:pPr>
        <w:spacing w:after="140" w:line="276"/>
      </w:pPr>
      <w:r>
        <w:rPr>
          <w:rFonts w:ascii="Calibri" w:cs="Calibri" w:eastAsia="Calibri" w:hAnsi="Calibri"/>
          <w:sz w:val="21"/>
          <w:szCs w:val="21"/>
        </w:rPr>
        <w:t xml:space="preserve">Completion of Milestones: Upon completion of each milestone, Attorney shall transfer the earned portion from the IOLTA trust account to Attorney’s operating account. Client shall receive written notice when each milestone is reached and funds are transferred.</w:t>
      </w:r>
    </w:p>
    <w:p>
      <w:pPr>
        <w:spacing w:after="100" w:before="200"/>
      </w:pPr>
      <w:r>
        <w:rPr>
          <w:rFonts w:ascii="Calibri" w:cs="Calibri" w:eastAsia="Calibri" w:hAnsi="Calibri"/>
          <w:b/>
          <w:bCs/>
          <w:color w:val="1F3050"/>
          <w:sz w:val="22"/>
          <w:szCs w:val="22"/>
        </w:rPr>
        <w:t xml:space="preserve">Section 4. Business Hours and Communication</w:t>
      </w:r>
    </w:p>
    <w:p>
      <w:pPr>
        <w:spacing w:after="140" w:line="276"/>
      </w:pPr>
      <w:r>
        <w:rPr>
          <w:rFonts w:ascii="Calibri" w:cs="Calibri" w:eastAsia="Calibri" w:hAnsi="Calibri"/>
          <w:sz w:val="21"/>
          <w:szCs w:val="21"/>
        </w:rPr>
        <w:t xml:space="preserve">Attorney’s business hours are Monday through Friday, 9:30 a.m. to 4:30 p.m. Central Time. Communications received outside business hours will be addressed the next business day. Attorney reserves the right to bill for after-hours communications requiring substantive attorney time and reserves the right to delete after-hours voicemails without transcription. Client agrees to respond to Attorney’s requests for information in a timely manner; delayed responses may delay deliverables, and Attorney is not responsible for delays caused by Client’s delayed response.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General: Client agrees to be truthful with Attorney, to cooperate, to provide all factual and documentary evidence necessary for Attorney to perform the professional services, to abide by this Agreement and to keep Attorney advised of Client’s address, telephone number, and email address. In the event the Firm is unable to locate Client, the Firm may terminate all further representation of Client by sending an email to Client’s last known email address and filing all necessary documents to seek permission to withdraw from any formal representation.</w:t>
      </w:r>
    </w:p>
    <w:p>
      <w:pPr>
        <w:spacing w:after="140" w:line="276"/>
      </w:pPr>
      <w:r>
        <w:rPr>
          <w:rFonts w:ascii="Calibri" w:cs="Calibri" w:eastAsia="Calibri" w:hAnsi="Calibri"/>
          <w:sz w:val="21"/>
          <w:szCs w:val="21"/>
        </w:rPr>
        <w:t xml:space="preserve">Use of TM, SM, and R: Client may use the "TM" symbol for unregistered marks, slogans, or logos to claim ownership under common law (or the "SM" mark for services), even while an application is pending. In signing this Agreement, Client acknowledges that this denotation does not fully inoculate Client in the event someone else registers the mark, slogan, or logo first. Client also acknowledges that the registered symbol is legally restricted and may only be used after the United States Patent and Trademark Office (USPTO) officially registers Client’s trademark and issues a registration certificate. Improper use of the registered symbol may result in legal penalties and/or lawsuits, for which Client is wholly responsible. Representation of the Client regarding such matters is expressly excluded from Legal Services under this Agreement.</w:t>
      </w:r>
    </w:p>
    <w:p>
      <w:pPr>
        <w:spacing w:after="140" w:line="276"/>
      </w:pPr>
      <w:r>
        <w:rPr>
          <w:rFonts w:ascii="Calibri" w:cs="Calibri" w:eastAsia="Calibri" w:hAnsi="Calibri"/>
          <w:sz w:val="21"/>
          <w:szCs w:val="21"/>
        </w:rPr>
        <w:t xml:space="preserve">Communication Policies: Client will exclusively communicate with the Attorney via email at jbrantley@jenniferbrantleylaw.com or via the provided telephone number and/or case management portal, Monday through Friday between 9:00 a.m. to 4:30 p.m. Central Time. Client understands social media is not the proper avenue to contact Attorney.</w:t>
      </w:r>
    </w:p>
    <w:p>
      <w:pPr>
        <w:spacing w:after="140" w:line="276"/>
      </w:pPr>
      <w:r>
        <w:rPr>
          <w:rFonts w:ascii="Calibri" w:cs="Calibri" w:eastAsia="Calibri" w:hAnsi="Calibri"/>
          <w:sz w:val="21"/>
          <w:szCs w:val="21"/>
        </w:rPr>
        <w:t xml:space="preserve">Power of Attorney: Client gives Attorney a limited power of attorney to execute all documents which are necessary or desirable to file their trademark application. Client designates Jennifer N. Brantley, Esq., and J Brantley Law, PLLC as its representative with power to bind Client in connection with representation under this engagement.</w:t>
      </w:r>
    </w:p>
    <w:p>
      <w:pPr>
        <w:spacing w:after="100" w:before="200"/>
      </w:pPr>
      <w:r>
        <w:rPr>
          <w:rFonts w:ascii="Calibri" w:cs="Calibri" w:eastAsia="Calibri" w:hAnsi="Calibri"/>
          <w:b/>
          <w:bCs/>
          <w:color w:val="1F3050"/>
          <w:sz w:val="22"/>
          <w:szCs w:val="22"/>
        </w:rPr>
        <w:t xml:space="preserve">Section 6. Deliverables and Acceptance</w:t>
      </w:r>
    </w:p>
    <w:p>
      <w:pPr>
        <w:spacing w:after="140" w:line="276"/>
      </w:pPr>
      <w:r>
        <w:rPr>
          <w:rFonts w:ascii="Calibri" w:cs="Calibri" w:eastAsia="Calibri" w:hAnsi="Calibri"/>
          <w:sz w:val="21"/>
          <w:szCs w:val="21"/>
        </w:rPr>
        <w:t xml:space="preserve">Attorney will communicate the anticipated completion timeline for each elected deliverable directly with Client during representation. Client has five (5) business days from the date of delivery of any deliverable to review and object in writing to its contents. The five-business-day clock runs from the delivery date. Absent a timely written objection, the deliverable is deemed accepted.</w:t>
      </w:r>
    </w:p>
    <w:p>
      <w:pPr>
        <w:spacing w:after="100" w:before="200"/>
      </w:pPr>
      <w:r>
        <w:rPr>
          <w:rFonts w:ascii="Calibri" w:cs="Calibri" w:eastAsia="Calibri" w:hAnsi="Calibri"/>
          <w:b/>
          <w:bCs/>
          <w:color w:val="1F3050"/>
          <w:sz w:val="22"/>
          <w:szCs w:val="22"/>
        </w:rPr>
        <w:t xml:space="preserve">Section 7. USPTO Fees and Government Costs</w:t>
      </w:r>
    </w:p>
    <w:p>
      <w:pPr>
        <w:spacing w:after="140" w:line="276"/>
      </w:pPr>
      <w:r>
        <w:rPr>
          <w:rFonts w:ascii="Calibri" w:cs="Calibri" w:eastAsia="Calibri" w:hAnsi="Calibri"/>
          <w:sz w:val="21"/>
          <w:szCs w:val="21"/>
        </w:rPr>
        <w:t xml:space="preserve">Any USPTO filing fee referenced in this Agreement is a separate government cost paid directly to the USPTO. USPTO filing fees are not included in, and are separate from, the Attorney fee for any elected tier.</w:t>
      </w:r>
    </w:p>
    <w:p>
      <w:pPr>
        <w:spacing w:after="100" w:before="200"/>
      </w:pPr>
      <w:r>
        <w:rPr>
          <w:rFonts w:ascii="Calibri" w:cs="Calibri" w:eastAsia="Calibri" w:hAnsi="Calibri"/>
          <w:b/>
          <w:bCs/>
          <w:color w:val="1F3050"/>
          <w:sz w:val="22"/>
          <w:szCs w:val="22"/>
        </w:rPr>
        <w:t xml:space="preserve">Section 8. Registration Timeline and Process Overview</w:t>
      </w:r>
    </w:p>
    <w:p>
      <w:pPr>
        <w:spacing w:after="140" w:line="276"/>
      </w:pPr>
      <w:r>
        <w:rPr>
          <w:rFonts w:ascii="Calibri" w:cs="Calibri" w:eastAsia="Calibri" w:hAnsi="Calibri"/>
          <w:sz w:val="21"/>
          <w:szCs w:val="21"/>
        </w:rPr>
        <w:t xml:space="preserve">Client acknowledges and understands the following regarding the federal trademark registration process for the Proposed Mark:</w:t>
      </w:r>
    </w:p>
    <w:p>
      <w:pPr>
        <w:spacing w:after="140" w:line="276"/>
      </w:pPr>
      <w:r>
        <w:rPr>
          <w:rFonts w:ascii="Calibri" w:cs="Calibri" w:eastAsia="Calibri" w:hAnsi="Calibri"/>
          <w:sz w:val="21"/>
          <w:szCs w:val="21"/>
        </w:rPr>
        <w:t xml:space="preserve">Trademark applications proceed under one of two filing bases. A "use in commerce" application applies where Client is already selling goods or services under the mark as of the filing date.</w:t>
      </w:r>
    </w:p>
    <w:p>
      <w:pPr>
        <w:spacing w:after="140" w:line="276"/>
      </w:pPr>
      <w:r>
        <w:rPr>
          <w:rFonts w:ascii="Calibri" w:cs="Calibri" w:eastAsia="Calibri" w:hAnsi="Calibri"/>
          <w:sz w:val="21"/>
          <w:szCs w:val="21"/>
        </w:rPr>
        <w:t xml:space="preserve">An "intent to use" application, sometimes called a Track B application, applies where Client has a bona fide intention to use the mark but has not yet begun sales under it as of the filing date. Client’s filing basis for the Proposed Mark will be determined based on Client’s use of the mark at the time of filing, and affects the process described below. If Client has not sold goods and/or provided services as of the date of Client’s intake call, Client must proceed with filing a multi-step ("intent to use") trademark application. Client understands that after filing Client’s initial trademark application the next step in this multi-stage process is to submit evidence (i.e., proof) that Client is either selling products and/or providing services in connection with Client’s trademark. Client understands that Client must submit evidence and pay the invoice in a timely manner so that Attorney can review and approve the evidence. Client understands that Client must pay $650.00 USD to submit the evidence to the USPTO for one class only (plus an additional $150.00 for 2 or more classes). If Client cannot show proof by the invoice deadline, Client understands that Client must file an Extension Request and pay a fee to do so ($650.00 USD for one class plus an additional $125.00 for 2 or more classes) to keep Client’s trademark application alive and active.</w:t>
      </w:r>
    </w:p>
    <w:p>
      <w:p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w:t>
      </w:r>
    </w:p>
    <w:p>
      <w:p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spacing w:after="140" w:line="276"/>
      </w:pPr>
      <w:r>
        <w:rPr>
          <w:rFonts w:ascii="Calibri" w:cs="Calibri" w:eastAsia="Calibri" w:hAnsi="Calibri"/>
          <w:sz w:val="21"/>
          <w:szCs w:val="21"/>
        </w:rPr>
        <w:t xml:space="preserve">Registration or Notice of Allowance: If no opposition is filed, a use-in-commerce application proceeds to registration. An intent-to-use application instead receives a Notice of Allowance, after which Client must submit evidence of use (a Statement of Use) or file an Extension Request before registration issues. USPTO fees and any additional Attorney fees associated with the Statement of Use or Extension Request stage are billed separately as those stages occur and are not included in the fees elected under Section 2.</w:t>
      </w:r>
    </w:p>
    <w:p>
      <w:pPr>
        <w:spacing w:after="140" w:line="276"/>
      </w:pPr>
      <w:r>
        <w:rPr>
          <w:rFonts w:ascii="Calibri" w:cs="Calibri" w:eastAsia="Calibri" w:hAnsi="Calibri"/>
          <w:sz w:val="21"/>
          <w:szCs w:val="21"/>
        </w:rPr>
        <w:t xml:space="preserve">Maintenance: Following registration, periodic maintenance filings are required to keep the registration active. Maintenance filings are not included in this engagement unless separately elected in writing.</w:t>
      </w:r>
    </w:p>
    <w:p>
      <w:pPr>
        <w:spacing w:after="140" w:line="276"/>
      </w:pPr>
      <w:r>
        <w:rPr>
          <w:rFonts w:ascii="Calibri" w:cs="Calibri" w:eastAsia="Calibri" w:hAnsi="Calibri"/>
          <w:sz w:val="21"/>
          <w:szCs w:val="21"/>
        </w:rPr>
        <w:t xml:space="preserve">Note: The following figures are drawn from the USPTO’s published trademark dashboard and processing wait times, current as of May 31, 2026, and supersede any timeframe discussed during Client’s intake. This reflects a straightforward application that does not receive an Office Action, opposition, or request for additional evidence. Any of those events will extend the timeline beyond the figures below. Attorney makes no guarantee of registration or of any timeframe.</w:t>
      </w:r>
    </w:p>
    <w:p>
      <w:pPr>
        <w:pStyle w:val="ListParagraph"/>
        <w:numPr>
          <w:ilvl w:val="0"/>
          <w:numId w:val="1"/>
        </w:numPr>
        <w:spacing w:after="140" w:line="276"/>
      </w:pPr>
      <w:r>
        <w:rPr>
          <w:rFonts w:ascii="Calibri" w:cs="Calibri" w:eastAsia="Calibri" w:hAnsi="Calibri"/>
          <w:sz w:val="21"/>
          <w:szCs w:val="21"/>
        </w:rPr>
        <w:t xml:space="preserve">Time from filing to first Office Action in the TSDR record: approximately 4.3 months on average; USPTO target 5.0 months.</w:t>
      </w:r>
    </w:p>
    <w:p>
      <w:pPr>
        <w:pStyle w:val="ListParagraph"/>
        <w:numPr>
          <w:ilvl w:val="0"/>
          <w:numId w:val="1"/>
        </w:numPr>
        <w:spacing w:after="140" w:line="276"/>
      </w:pPr>
      <w:r>
        <w:rPr>
          <w:rFonts w:ascii="Calibri" w:cs="Calibri" w:eastAsia="Calibri" w:hAnsi="Calibri"/>
          <w:sz w:val="21"/>
          <w:szCs w:val="21"/>
        </w:rPr>
        <w:t xml:space="preserve">Time from filing to registration or application abandonment: approximately 9.9 months on average; USPTO target 11.0 months.</w:t>
      </w:r>
    </w:p>
    <w:p>
      <w:pPr>
        <w:spacing w:after="100" w:before="200"/>
      </w:pPr>
      <w:r>
        <w:rPr>
          <w:rFonts w:ascii="Calibri" w:cs="Calibri" w:eastAsia="Calibri" w:hAnsi="Calibri"/>
          <w:b/>
          <w:bCs/>
          <w:color w:val="1F3050"/>
          <w:sz w:val="22"/>
          <w:szCs w:val="22"/>
        </w:rPr>
        <w:t xml:space="preserve">Section 9. Confidentiality</w:t>
      </w:r>
    </w:p>
    <w:p>
      <w:pPr>
        <w:spacing w:after="140" w:line="276"/>
      </w:pPr>
      <w:r>
        <w:rPr>
          <w:rFonts w:ascii="Calibri" w:cs="Calibri" w:eastAsia="Calibri" w:hAnsi="Calibri"/>
          <w:sz w:val="21"/>
          <w:szCs w:val="21"/>
        </w:rPr>
        <w:t xml:space="preserve">Attorney will maintain the confidentiality of Client information consistent with the applicable rules of professional conduct.</w:t>
      </w:r>
    </w:p>
    <w:p>
      <w:pPr>
        <w:spacing w:after="100" w:before="200"/>
      </w:pPr>
      <w:r>
        <w:rPr>
          <w:rFonts w:ascii="Calibri" w:cs="Calibri" w:eastAsia="Calibri" w:hAnsi="Calibri"/>
          <w:b/>
          <w:bCs/>
          <w:color w:val="1F3050"/>
          <w:sz w:val="22"/>
          <w:szCs w:val="22"/>
        </w:rPr>
        <w:t xml:space="preserve">Section 10. Conflicts of Interest</w:t>
      </w:r>
    </w:p>
    <w:p>
      <w:pPr>
        <w:spacing w:after="140" w:line="276"/>
      </w:pPr>
      <w:r>
        <w:rPr>
          <w:rFonts w:ascii="Calibri" w:cs="Calibri" w:eastAsia="Calibri" w:hAnsi="Calibri"/>
          <w:sz w:val="21"/>
          <w:szCs w:val="21"/>
        </w:rPr>
        <w:t xml:space="preserve">Attorney is not aware of any conflict of interest with this engagement. Client agrees to notify Attorney promptly if Client becomes aware of any potential conflict.</w:t>
      </w:r>
    </w:p>
    <w:p>
      <w:pPr>
        <w:spacing w:after="100" w:before="200"/>
      </w:pPr>
      <w:r>
        <w:rPr>
          <w:rFonts w:ascii="Calibri" w:cs="Calibri" w:eastAsia="Calibri" w:hAnsi="Calibri"/>
          <w:b/>
          <w:bCs/>
          <w:color w:val="1F3050"/>
          <w:sz w:val="22"/>
          <w:szCs w:val="22"/>
        </w:rPr>
        <w:t xml:space="preserve">Section 11. No Guarantee of Outcome or Estimates</w:t>
      </w:r>
    </w:p>
    <w:p>
      <w:pPr>
        <w:spacing w:after="140" w:line="276"/>
      </w:pPr>
      <w:r>
        <w:rPr>
          <w:rFonts w:ascii="Calibri" w:cs="Calibri" w:eastAsia="Calibri" w:hAnsi="Calibri"/>
          <w:sz w:val="21"/>
          <w:szCs w:val="21"/>
        </w:rPr>
        <w:t xml:space="preserve">Nothing in this Agreement or Attorney’s statements to Client shall be construed as a promise or guarantee regarding trademark registration or about the outcome of the matter. Any estimate of fees or costs given by Attorney or non-attorney staff shall not be considered a guarantee. Client understands this is an application process which could result in denial of Client’s trademark.</w:t>
      </w:r>
    </w:p>
    <w:p>
      <w:pPr>
        <w:spacing w:after="140" w:line="276"/>
      </w:pPr>
      <w:r>
        <w:rPr>
          <w:rFonts w:ascii="Calibri" w:cs="Calibri" w:eastAsia="Calibri" w:hAnsi="Calibri"/>
          <w:sz w:val="21"/>
          <w:szCs w:val="21"/>
        </w:rPr>
        <w:t xml:space="preserve">Client further understands that if Client does not timely pay Client’s invoice for either the statement of use or extension request by the invoice deadline, Client’s trademark will abandon at no fault to Attorney and Client will have to pay additional fees to reinstate Client’s application.</w:t>
      </w:r>
    </w:p>
    <w:p>
      <w:pPr>
        <w:spacing w:after="100" w:before="200"/>
      </w:pPr>
      <w:r>
        <w:rPr>
          <w:rFonts w:ascii="Calibri" w:cs="Calibri" w:eastAsia="Calibri" w:hAnsi="Calibri"/>
          <w:b/>
          <w:bCs/>
          <w:color w:val="1F3050"/>
          <w:sz w:val="22"/>
          <w:szCs w:val="22"/>
        </w:rPr>
        <w:t xml:space="preserve">Section 12. Malpractice Insurance Disclosure</w:t>
      </w:r>
    </w:p>
    <w:p>
      <w:pPr>
        <w:spacing w:after="140" w:line="276"/>
      </w:pPr>
      <w:r>
        <w:rPr>
          <w:rFonts w:ascii="Calibri" w:cs="Calibri" w:eastAsia="Calibri" w:hAnsi="Calibri"/>
          <w:sz w:val="21"/>
          <w:szCs w:val="21"/>
        </w:rPr>
        <w:t xml:space="preserve">Attorney maintains professional liability insurance.</w:t>
      </w:r>
    </w:p>
    <w:p>
      <w:pPr>
        <w:spacing w:after="100" w:before="200"/>
      </w:pPr>
      <w:r>
        <w:rPr>
          <w:rFonts w:ascii="Calibri" w:cs="Calibri" w:eastAsia="Calibri" w:hAnsi="Calibri"/>
          <w:b/>
          <w:bCs/>
          <w:color w:val="1F3050"/>
          <w:sz w:val="22"/>
          <w:szCs w:val="22"/>
        </w:rPr>
        <w:t xml:space="preserve">Section 13. Termination of Representation</w:t>
      </w:r>
    </w:p>
    <w:p>
      <w:pPr>
        <w:spacing w:after="140" w:line="276"/>
      </w:pPr>
      <w:r>
        <w:rPr>
          <w:rFonts w:ascii="Calibri" w:cs="Calibri" w:eastAsia="Calibri" w:hAnsi="Calibri"/>
          <w:sz w:val="21"/>
          <w:szCs w:val="21"/>
        </w:rPr>
        <w:t xml:space="preserve">Either Attorney or Client may terminate this engagement upon written notice. Client remains responsible for fees earned and costs incurred through the date of termination.</w:t>
      </w:r>
    </w:p>
    <w:p>
      <w:pPr>
        <w:spacing w:after="100" w:before="200"/>
      </w:pPr>
      <w:r>
        <w:rPr>
          <w:rFonts w:ascii="Calibri" w:cs="Calibri" w:eastAsia="Calibri" w:hAnsi="Calibri"/>
          <w:b/>
          <w:bCs/>
          <w:color w:val="1F3050"/>
          <w:sz w:val="22"/>
          <w:szCs w:val="22"/>
        </w:rPr>
        <w:t xml:space="preserve">Section 14. Trust Account (IOLTA) Administration</w:t>
      </w:r>
    </w:p>
    <w:p>
      <w:pPr>
        <w:spacing w:after="140" w:line="276"/>
      </w:pPr>
      <w:r>
        <w:rPr>
          <w:rFonts w:ascii="Calibri" w:cs="Calibri" w:eastAsia="Calibri" w:hAnsi="Calibri"/>
          <w:sz w:val="21"/>
          <w:szCs w:val="21"/>
        </w:rPr>
        <w:t xml:space="preserve">Installment payments received in advance of work performed will be deposited into Attorney’s IOLTA trust account and transferred to Attorney’s operating account as fees are earned upon completion of the corresponding milestone.</w:t>
      </w:r>
    </w:p>
    <w:p>
      <w:pPr>
        <w:spacing w:after="100" w:before="200"/>
      </w:pPr>
      <w:r>
        <w:rPr>
          <w:rFonts w:ascii="Calibri" w:cs="Calibri" w:eastAsia="Calibri" w:hAnsi="Calibri"/>
          <w:b/>
          <w:bCs/>
          <w:color w:val="1F3050"/>
          <w:sz w:val="22"/>
          <w:szCs w:val="22"/>
        </w:rPr>
        <w:t xml:space="preserve">Section 15. Electronic Communications and Delivery Consent</w:t>
      </w:r>
    </w:p>
    <w:p>
      <w:pPr>
        <w:spacing w:after="140" w:line="276"/>
      </w:pPr>
      <w:r>
        <w:rPr>
          <w:rFonts w:ascii="Calibri" w:cs="Calibri" w:eastAsia="Calibri" w:hAnsi="Calibri"/>
          <w:sz w:val="21"/>
          <w:szCs w:val="21"/>
        </w:rPr>
        <w:t xml:space="preserve">Client consents to receive this Agreement, invoices, deliverables, and other communications electronically via their client portal or the email address on file. Client is responsible for notifying Attorney promptly of any change to Client’s contact information.</w:t>
      </w:r>
    </w:p>
    <w:p>
      <w:pPr>
        <w:spacing w:after="100" w:before="200"/>
      </w:pPr>
      <w:r>
        <w:rPr>
          <w:rFonts w:ascii="Calibri" w:cs="Calibri" w:eastAsia="Calibri" w:hAnsi="Calibri"/>
          <w:b/>
          <w:bCs/>
          <w:color w:val="1F3050"/>
          <w:sz w:val="22"/>
          <w:szCs w:val="22"/>
        </w:rPr>
        <w:t xml:space="preserve">Section 16. Governing Law and Jurisdiction</w:t>
      </w:r>
    </w:p>
    <w:p>
      <w:pPr>
        <w:spacing w:after="140" w:line="276"/>
      </w:pPr>
      <w:r>
        <w:rPr>
          <w:rFonts w:ascii="Calibri" w:cs="Calibri" w:eastAsia="Calibri" w:hAnsi="Calibri"/>
          <w:sz w:val="21"/>
          <w:szCs w:val="21"/>
        </w:rPr>
        <w:t xml:space="preserve">This Agreement is governed by the laws of the State of Texas.</w:t>
      </w:r>
    </w:p>
    <w:p>
      <w:pPr>
        <w:spacing w:after="100" w:before="200"/>
      </w:pPr>
      <w:r>
        <w:rPr>
          <w:rFonts w:ascii="Calibri" w:cs="Calibri" w:eastAsia="Calibri" w:hAnsi="Calibri"/>
          <w:b/>
          <w:bCs/>
          <w:color w:val="1F3050"/>
          <w:sz w:val="22"/>
          <w:szCs w:val="22"/>
        </w:rPr>
        <w:t xml:space="preserve">Section 17. Arbitration</w:t>
      </w:r>
    </w:p>
    <w:p>
      <w:pPr>
        <w:spacing w:after="140" w:line="276"/>
      </w:pPr>
      <w:r>
        <w:rPr>
          <w:rFonts w:ascii="Calibri" w:cs="Calibri" w:eastAsia="Calibri" w:hAnsi="Calibri"/>
          <w:sz w:val="21"/>
          <w:szCs w:val="21"/>
        </w:rPr>
        <w:t xml:space="preserve">If a dispute arises out of or related to a claimed breach of this Agreement, or any other disagreement of any nature, regardless of the facts or legal theories involved, the dispute will be resolved by binding arbitration before a single arbitrator through the State Bar of Texas. Each side will bear its own costs and attorneys’ fees. The parties waive their right to a jury trial. Prior to arbitration, the parties will make a good faith effort to resolve the dispute without outside intervention. Client agrees that, to constitute a good faith effort, Client must give the Firm written notice of any dispute about costs, fees, or expenses within seven (7) days of the date Client receives the Firm’s invoice.</w:t>
      </w:r>
    </w:p>
    <w:p>
      <w:pPr>
        <w:spacing w:after="100" w:before="200"/>
      </w:pPr>
      <w:r>
        <w:rPr>
          <w:rFonts w:ascii="Calibri" w:cs="Calibri" w:eastAsia="Calibri" w:hAnsi="Calibri"/>
          <w:b/>
          <w:bCs/>
          <w:color w:val="1F3050"/>
          <w:sz w:val="22"/>
          <w:szCs w:val="22"/>
        </w:rPr>
        <w:t xml:space="preserve">Section 18. Entire Agreement</w:t>
      </w:r>
    </w:p>
    <w:p>
      <w:pPr>
        <w:spacing w:after="140" w:line="276"/>
      </w:pPr>
      <w:r>
        <w:rPr>
          <w:rFonts w:ascii="Calibri" w:cs="Calibri" w:eastAsia="Calibri" w:hAnsi="Calibri"/>
          <w:sz w:val="21"/>
          <w:szCs w:val="21"/>
        </w:rPr>
        <w:t xml:space="preserve">This Agreement constitutes the entire agreement between Attorney and Client regarding the services described above and supersedes any prior discussions or understandings, written or oral.</w:t>
      </w:r>
    </w:p>
    <w:p>
      <w:pPr>
        <w:spacing w:after="140" w:line="276"/>
      </w:pPr>
      <w:r>
        <w:rPr>
          <w:rFonts w:ascii="Calibri" w:cs="Calibri" w:eastAsia="Calibri" w:hAnsi="Calibri"/>
          <w:sz w:val="21"/>
          <w:szCs w:val="21"/>
        </w:rPr>
        <w:t xml:space="preserve">By signing below, Client confirms the elections above and agrees to the terms of this Agreement.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2026-09-13T19:54:00.890Z</dcterms:created>
  <dcterms:modified xsi:type="dcterms:W3CDTF">2026-09-13T19:54:00.890Z</dcterms:modified>
</cp:coreProperties>
</file>

<file path=docProps/custom.xml><?xml version="1.0" encoding="utf-8"?>
<Properties xmlns="http://schemas.openxmlformats.org/officeDocument/2006/custom-properties" xmlns:vt="http://schemas.openxmlformats.org/officeDocument/2006/docPropsVTypes"/>
</file>