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Search and File</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("Client"), regarding trademark registration services for {{answers.mark_name}} (the "Proposed Mark") (or a single, alternate mark should the chosen mark be unavailable). Please note that this proposal expires seven (7) business days from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Power of Attorney granted in Section 5: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2A. Tier Election: Client elects the Search and File tier of trademark services for the Proposed Mark, described below.</w:t>
      </w:r>
    </w:p>
    <w:p>
      <w:pPr>
        <w:spacing w:after="140" w:line="276"/>
      </w:pPr>
      <w:r>
        <w:rPr>
          <w:rFonts w:ascii="Calibri" w:cs="Calibri" w:eastAsia="Calibri" w:hAnsi="Calibri"/>
          <w:sz w:val="21"/>
          <w:szCs w:val="21"/>
        </w:rPr>
        <w:t xml:space="preserve">Search and File: Includes the Search and Clear services above, preparation and filing of one federal trademark application for the Proposed Mark in one class of goods or services. The USPTO filing fee of $350.00 per class is a separate government cost paid directly to the USPTO and is not included in the Attorney fee. Attorney fee: $1,100.00 + USPTO filing fee (separate government cost).</w:t>
      </w:r>
    </w:p>
    <w:p>
      <w:pPr>
        <w:spacing w:after="140" w:line="276"/>
      </w:pPr>
      <w:r>
        <w:rPr>
          <w:rFonts w:ascii="Calibri" w:cs="Calibri" w:eastAsia="Calibri" w:hAnsi="Calibri"/>
          <w:sz w:val="21"/>
          <w:szCs w:val="21"/>
        </w:rPr>
        <w:t xml:space="preserve">Note on Additional Classes: The fees in this engagement cover the application in one (1) class. If Client wishes to add classes to any application, additional search, clearance analysis, and filing fees will apply. Additional classes will be billed at $200 per class in attorney fees, plus the applicable USPTO filing fee per class, per application. Any request to add classes must be approved in writing by Attorney prior to work commencing.</w:t>
      </w:r>
    </w:p>
    <w:p>
      <w:pPr>
        <w:spacing w:after="140" w:line="276"/>
      </w:pPr>
      <w:r>
        <w:rPr>
          <w:rFonts w:ascii="Calibri" w:cs="Calibri" w:eastAsia="Calibri" w:hAnsi="Calibri"/>
          <w:sz w:val="21"/>
          <w:szCs w:val="21"/>
        </w:rPr>
        <w:t xml:space="preserve">2B. Optional Add-On Services: Client may elect the following add-on service.</w:t>
      </w:r>
    </w:p>
    <w:p>
      <w:pPr>
        <w:spacing w:after="140" w:line="276"/>
      </w:pPr>
      <w:r>
        <w:rPr>
          <w:rFonts w:ascii="Calibri" w:cs="Calibri" w:eastAsia="Calibri" w:hAnsi="Calibri"/>
          <w:sz w:val="21"/>
          <w:szCs w:val="21"/>
        </w:rPr>
        <w:t xml:space="preserve">Trademark Cease and Desist Letter: $300.00 per letter. This includes consultation with Attorney (not to exceed fifteen (15) minutes or equivalent email correspondence) regarding the trademark use at issue, drafting of one cease and desist letter on Client’s behalf, and delivery to Client for Client’s approval prior to sending. Client is responsible for all costs associated with delivery of the letter (postage, courier, etc.). This service is limited to trademark-related cease and desist matters only. If the offending party responds or negotiation is required, Attorney shall notify Client that additional work is outside this scope. Client may elect to proceed with follow-up representation at Attorney’s hourly rate of $250/hour, billed in quarter-hour (.25) increments, subject to a separate written fee agreement.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Elect the Trademark Cease and Desist Letter add-on ($300.00 per letter).</w:t>
      </w:r>
    </w:p>
    <w:p>
      <w:pPr>
        <w:spacing w:after="100" w:before="200"/>
      </w:pPr>
      <w:r>
        <w:rPr>
          <w:rFonts w:ascii="Calibri" w:cs="Calibri" w:eastAsia="Calibri" w:hAnsi="Calibri"/>
          <w:b/>
          <w:bCs/>
          <w:color w:val="1F3050"/>
          <w:sz w:val="22"/>
          <w:szCs w:val="22"/>
        </w:rPr>
        <w:t xml:space="preserve">Section 3. Fees, Billing, and Payment Terms</w:t>
      </w:r>
    </w:p>
    <w:p>
      <w:pPr>
        <w:spacing w:after="140" w:line="276"/>
      </w:pPr>
      <w:r>
        <w:rPr>
          <w:rFonts w:ascii="Calibri" w:cs="Calibri" w:eastAsia="Calibri" w:hAnsi="Calibri"/>
          <w:sz w:val="21"/>
          <w:szCs w:val="21"/>
        </w:rPr>
        <w:t xml:space="preserve">Deposit</w:t>
      </w:r>
    </w:p>
    <w:p>
      <w:pPr>
        <w:spacing w:after="140" w:line="276"/>
      </w:pPr>
      <w:r>
        <w:rPr>
          <w:rFonts w:ascii="Calibri" w:cs="Calibri" w:eastAsia="Calibri" w:hAnsi="Calibri"/>
          <w:sz w:val="21"/>
          <w:szCs w:val="21"/>
        </w:rPr>
        <w:t xml:space="preserve">A deposit of fifty percent (50%) of the attorney fee is due at signing and credited toward the initial milestone, with the remaining balance due prior to filing.</w:t>
      </w:r>
    </w:p>
    <w:p>
      <w:pPr>
        <w:spacing w:after="140" w:line="276"/>
      </w:pPr>
      <w:r>
        <w:rPr>
          <w:rFonts w:ascii="Calibri" w:cs="Calibri" w:eastAsia="Calibri" w:hAnsi="Calibri"/>
          <w:sz w:val="21"/>
          <w:szCs w:val="21"/>
        </w:rPr>
        <w:t xml:space="preserve">For the Search and File, File and Protect and Full Shield tiers, Client may also elect to pay the total elected fee above (exclusive of USPTO filing fees) in either three (3) or five (5) equal (or approximately equal) installment payments, as set forth below. Alternate terms may be agreed upon, in writing, by the parties.</w:t>
      </w:r>
    </w:p>
    <w:p>
      <w:pPr>
        <w:spacing w:after="140" w:line="276"/>
      </w:pPr>
      <w:r>
        <w:rPr>
          <w:rFonts w:ascii="Calibri" w:cs="Calibri" w:eastAsia="Calibri" w:hAnsi="Calibri"/>
          <w:sz w:val="21"/>
          <w:szCs w:val="21"/>
        </w:rPr>
        <w:t xml:space="preserve">Optional add-on services elected at signing are invoiced upon completion and are due in full within seven (7) days of invoice date. No installment plans are available.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A — 3 equal payments: Payments debited at 14-day intervals beginning on the date of signing, in the amount of one-third (1/3) of the total elected fee per installment.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Option B — 5 equal payments: Payments debited at 14-day intervals beginning on the date of signing, in the amount of one-fifth (1/5) of the total elected fee per installment.</w:t>
      </w:r>
    </w:p>
    <w:p>
      <w:pPr>
        <w:spacing w:after="140" w:line="276"/>
      </w:pPr>
      <w:r>
        <w:rPr>
          <w:rFonts w:ascii="Calibri" w:cs="Calibri" w:eastAsia="Calibri" w:hAnsi="Calibri"/>
          <w:sz w:val="21"/>
          <w:szCs w:val="21"/>
        </w:rPr>
        <w:t xml:space="preserve">Automatic Billing: Client authorizes automatic electronic debit of each installment from the payment method on file, at the intervals set forth in the elected Installment Plan above.</w:t>
      </w:r>
    </w:p>
    <w:p>
      <w:pPr>
        <w:spacing w:after="140" w:line="276"/>
      </w:pPr>
      <w:r>
        <w:rPr>
          <w:rFonts w:ascii="Calibri" w:cs="Calibri" w:eastAsia="Calibri" w:hAnsi="Calibri"/>
          <w:sz w:val="21"/>
          <w:szCs w:val="21"/>
        </w:rPr>
        <w:t xml:space="preserve">USPTO filing fees are government costs, are not eligible for the installment plan, and are due in full prior to filing.</w:t>
      </w:r>
    </w:p>
    <w:p>
      <w:pPr>
        <w:spacing w:after="140" w:line="276"/>
      </w:pPr>
      <w:r>
        <w:rPr>
          <w:rFonts w:ascii="Calibri" w:cs="Calibri" w:eastAsia="Calibri" w:hAnsi="Calibri"/>
          <w:sz w:val="21"/>
          <w:szCs w:val="21"/>
        </w:rPr>
        <w:t xml:space="preserve">Invoices for any services outside the elected tiers are due within seven (7) days of the invoice date.</w:t>
      </w:r>
    </w:p>
    <w:p>
      <w:pPr>
        <w:spacing w:after="140" w:line="276"/>
      </w:pPr>
      <w:r>
        <w:rPr>
          <w:rFonts w:ascii="Calibri" w:cs="Calibri" w:eastAsia="Calibri" w:hAnsi="Calibri"/>
          <w:sz w:val="21"/>
          <w:szCs w:val="21"/>
        </w:rPr>
        <w:t xml:space="preserve">Client authorizes automatic billing of any card on file for amounts due under this Agreement. Where no card is on file, a late fee of 1.5% per month (maximum 18% per annum) applies to any balance not paid within seven (7) days of invoicing. Attorney reserves the right to suspend services for any account with a past-due balance.</w:t>
      </w:r>
    </w:p>
    <w:p>
      <w:pPr>
        <w:spacing w:after="140" w:line="276"/>
      </w:pPr>
      <w:r>
        <w:rPr>
          <w:rFonts w:ascii="Calibri" w:cs="Calibri" w:eastAsia="Calibri" w:hAnsi="Calibri"/>
          <w:sz w:val="21"/>
          <w:szCs w:val="21"/>
        </w:rPr>
        <w:t xml:space="preserve">Fee Earning Milestones: Attorney’s fees are held in Client’s IOLTA trust account upon receipt and are earned according to the following milestones:</w:t>
      </w:r>
    </w:p>
    <w:p>
      <w:pPr>
        <w:spacing w:after="140" w:line="276"/>
      </w:pPr>
      <w:r>
        <w:rPr>
          <w:rFonts w:ascii="Calibri" w:cs="Calibri" w:eastAsia="Calibri" w:hAnsi="Calibri"/>
          <w:sz w:val="21"/>
          <w:szCs w:val="21"/>
        </w:rPr>
        <w:t xml:space="preserve">First Portion (Search and Opinion): $300.00 is earned upon Attorney’s completion of the trademark search, analysis, and delivery of the written clearance opinion to Client. If Attorney has already completed the search and delivered the written clearance opinion prior to this Agreement’s execution, this portion is earned upon execution of this Agreement and Client’s payment.</w:t>
      </w:r>
    </w:p>
    <w:p>
      <w:pPr>
        <w:spacing w:after="140" w:line="276"/>
      </w:pPr>
      <w:r>
        <w:rPr>
          <w:rFonts w:ascii="Calibri" w:cs="Calibri" w:eastAsia="Calibri" w:hAnsi="Calibri"/>
          <w:sz w:val="21"/>
          <w:szCs w:val="21"/>
        </w:rPr>
        <w:t xml:space="preserve">Second Portion (Filing): The remaining $800.00 is earned upon Attorney’s preparation and delivery of the draft application to Client. This portion is earned regardless of whether Client elects to proceed with filing. If Client terminates this engagement after receiving the draft application, Client remains responsible for the full $800.00 for work performed in preparing the application.</w:t>
      </w:r>
    </w:p>
    <w:p>
      <w:pPr>
        <w:spacing w:after="140" w:line="276"/>
      </w:pPr>
      <w:r>
        <w:rPr>
          <w:rFonts w:ascii="Calibri" w:cs="Calibri" w:eastAsia="Calibri" w:hAnsi="Calibri"/>
          <w:sz w:val="21"/>
          <w:szCs w:val="21"/>
        </w:rPr>
        <w:t xml:space="preserve">Application Revisions: One (1) revision to the draft application prior to filing is included at no additional charge. Revisions include modifications to goods/services descriptions, specimen updates, or other substantive changes to the application based on Client feedback. Additional revisions beyond the first are billed at Attorney’s hourly rate of $250/hour in quarter-hour increments.</w:t>
      </w:r>
    </w:p>
    <w:p>
      <w:pPr>
        <w:spacing w:after="140" w:line="276"/>
      </w:pPr>
      <w:r>
        <w:rPr>
          <w:rFonts w:ascii="Calibri" w:cs="Calibri" w:eastAsia="Calibri" w:hAnsi="Calibri"/>
          <w:sz w:val="21"/>
          <w:szCs w:val="21"/>
        </w:rPr>
        <w:t xml:space="preserve">Completion of Milestones: Upon completion of each milestone, Attorney shall transfer the earned portion from the IOLTA trust account to Attorney’s operating account. Client shall receive written notice when each milestone is reached and funds are transferred.</w:t>
      </w:r>
    </w:p>
    <w:p>
      <w:pPr>
        <w:spacing w:after="140" w:line="276"/>
      </w:pPr>
      <w:r>
        <w:rPr>
          <w:rFonts w:ascii="Calibri" w:cs="Calibri" w:eastAsia="Calibri" w:hAnsi="Calibri"/>
          <w:sz w:val="21"/>
          <w:szCs w:val="21"/>
        </w:rPr>
        <w:t xml:space="preserve">Termination by Client: If Client terminates this engagement after Attorney has prepared and delivered the draft application to Client, all fees earned through application preparation remain due and payable, whether or not Client elects to file the application with the USPTO. Client may terminate prior to receiving the draft application; however, termination after delivery of the draft application does not reduce Client’s obligation for the preparation work completed. If Client terminates before the draft application is delivered, Attorney may charge Client a reasonable hourly rate (not to exceed $250/hour) for work performed to date, not to exceed fifty percent of the fee for the elected tier, and shall refund any remaining balance within fourteen (14) days.</w:t>
      </w:r>
    </w:p>
    <w:p>
      <w:pPr>
        <w:spacing w:after="100" w:before="200"/>
      </w:pPr>
      <w:r>
        <w:rPr>
          <w:rFonts w:ascii="Calibri" w:cs="Calibri" w:eastAsia="Calibri" w:hAnsi="Calibri"/>
          <w:b/>
          <w:bCs/>
          <w:color w:val="1F3050"/>
          <w:sz w:val="22"/>
          <w:szCs w:val="22"/>
        </w:rPr>
        <w:t xml:space="preserve">Section 4. Business Hours and Communication</w:t>
      </w:r>
    </w:p>
    <w:p>
      <w:pPr>
        <w:spacing w:after="140" w:line="276"/>
      </w:pPr>
      <w:r>
        <w:rPr>
          <w:rFonts w:ascii="Calibri" w:cs="Calibri" w:eastAsia="Calibri" w:hAnsi="Calibri"/>
          <w:sz w:val="21"/>
          <w:szCs w:val="21"/>
        </w:rPr>
        <w:t xml:space="preserve">Attorney’s business hours are Monday through Friday, 9:30 a.m. to 4:30 p.m. Central Time. Communications received outside business hours will be addressed the next business day. Attorney reserves the right to bill for after-hours communications requiring substantive attorney time and reserves the right to delete after-hours voicemails without transcription. Client agrees to respond to Attorney’s requests for information in a timely manner; delayed responses may delay deliverables, and Attorney is not responsible for delays caused by Client’s delayed response.</w:t>
      </w:r>
    </w:p>
    <w:p>
      <w:pPr>
        <w:spacing w:after="100" w:before="200"/>
      </w:pPr>
      <w:r>
        <w:rPr>
          <w:rFonts w:ascii="Calibri" w:cs="Calibri" w:eastAsia="Calibri" w:hAnsi="Calibri"/>
          <w:b/>
          <w:bCs/>
          <w:color w:val="1F3050"/>
          <w:sz w:val="22"/>
          <w:szCs w:val="22"/>
        </w:rPr>
        <w:t xml:space="preserve">Section 5.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40" w:line="276"/>
      </w:pPr>
      <w:r>
        <w:rPr>
          <w:rFonts w:ascii="Calibri" w:cs="Calibri" w:eastAsia="Calibri" w:hAnsi="Calibri"/>
          <w:sz w:val="21"/>
          <w:szCs w:val="21"/>
        </w:rPr>
        <w:t xml:space="preserve">Communication Policies: Client will exclusively communicate with the Attorney via email at jbrantley@jenniferbrantleylaw.com or via the provided telephone number and/or case management portal, Monday through Friday between 9:00 a.m. to 4:30 p.m. Central Time. Client understands social media is not the proper avenue to contact Attorney.</w:t>
      </w:r>
    </w:p>
    <w:p>
      <w:pPr>
        <w:spacing w:after="140" w:line="276"/>
      </w:pPr>
      <w:r>
        <w:rPr>
          <w:rFonts w:ascii="Calibri" w:cs="Calibri" w:eastAsia="Calibri" w:hAnsi="Calibri"/>
          <w:sz w:val="21"/>
          <w:szCs w:val="21"/>
        </w:rPr>
        <w:t xml:space="preserve">Power of Attorney: Client gives Attorney a limited power of attorney to execute all documents which are necessary or desirable to file their trademark application. Client designates Jennifer N. Brantley, Esq., and J Brantley Law, PLLC as its representative with power to bind Client in connection with representation under this engagement.</w:t>
      </w:r>
    </w:p>
    <w:p>
      <w:pPr>
        <w:spacing w:after="100" w:before="200"/>
      </w:pPr>
      <w:r>
        <w:rPr>
          <w:rFonts w:ascii="Calibri" w:cs="Calibri" w:eastAsia="Calibri" w:hAnsi="Calibri"/>
          <w:b/>
          <w:bCs/>
          <w:color w:val="1F3050"/>
          <w:sz w:val="22"/>
          <w:szCs w:val="22"/>
        </w:rPr>
        <w:t xml:space="preserve">Section 6. Deliverables and Acceptance</w:t>
      </w:r>
    </w:p>
    <w:p>
      <w:pPr>
        <w:spacing w:after="140" w:line="276"/>
      </w:pPr>
      <w:r>
        <w:rPr>
          <w:rFonts w:ascii="Calibri" w:cs="Calibri" w:eastAsia="Calibri" w:hAnsi="Calibri"/>
          <w:sz w:val="21"/>
          <w:szCs w:val="21"/>
        </w:rPr>
        <w:t xml:space="preserve">Attorney will communicate the anticipated completion timeline for each elected deliverable directly with Client during representation. Client has five (5) business days from the date of delivery of any deliverable to review and object in writing to its contents. The five-business-day clock runs from the delivery date. Absent a timely written objection, the deliverable is deemed accepted.</w:t>
      </w:r>
    </w:p>
    <w:p>
      <w:pPr>
        <w:spacing w:after="100" w:before="200"/>
      </w:pPr>
      <w:r>
        <w:rPr>
          <w:rFonts w:ascii="Calibri" w:cs="Calibri" w:eastAsia="Calibri" w:hAnsi="Calibri"/>
          <w:b/>
          <w:bCs/>
          <w:color w:val="1F3050"/>
          <w:sz w:val="22"/>
          <w:szCs w:val="22"/>
        </w:rPr>
        <w:t xml:space="preserve">Section 7. USPTO Fees and Government Costs</w:t>
      </w:r>
    </w:p>
    <w:p>
      <w:pPr>
        <w:spacing w:after="140" w:line="276"/>
      </w:pPr>
      <w:r>
        <w:rPr>
          <w:rFonts w:ascii="Calibri" w:cs="Calibri" w:eastAsia="Calibri" w:hAnsi="Calibri"/>
          <w:sz w:val="21"/>
          <w:szCs w:val="21"/>
        </w:rPr>
        <w:t xml:space="preserve">Any USPTO filing fee referenced in this Agreement is a separate government cost paid directly to the USPTO. USPTO filing fees are not included in, and are separate from, the Attorney fee for any elected tier.</w:t>
      </w:r>
    </w:p>
    <w:p>
      <w:pPr>
        <w:spacing w:after="100" w:before="200"/>
      </w:pPr>
      <w:r>
        <w:rPr>
          <w:rFonts w:ascii="Calibri" w:cs="Calibri" w:eastAsia="Calibri" w:hAnsi="Calibri"/>
          <w:b/>
          <w:bCs/>
          <w:color w:val="1F3050"/>
          <w:sz w:val="22"/>
          <w:szCs w:val="22"/>
        </w:rPr>
        <w:t xml:space="preserve">Section 8.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proceed under one of two filing bases. A "use in commerce" application applies where Client is already selling goods or services under the mark as of the filing date.</w:t>
      </w:r>
    </w:p>
    <w:p>
      <w:pPr>
        <w:spacing w:after="140" w:line="276"/>
      </w:pPr>
      <w:r>
        <w:rPr>
          <w:rFonts w:ascii="Calibri" w:cs="Calibri" w:eastAsia="Calibri" w:hAnsi="Calibri"/>
          <w:sz w:val="21"/>
          <w:szCs w:val="21"/>
        </w:rPr>
        <w:t xml:space="preserve">An "intent to use" application, sometimes called a Track B application, applies where Client has a bona fide intention to use the mark but has not yet begun sales under it as of the filing date. Client’s filing basis for the Proposed Mark will be determined based on Client’s use of the mark at the time of filing, and affects the process described below. If Client has not sold goods and/or provided services as of the date of Client’s intake call, Client must proceed with filing a multi-step ("intent to use") trademark application. Client understands that after filing Client’s initial trademark application the next step in this multi-stage process is to submit evidence (i.e., proof) that Client is either selling products and/or providing services in connection with Client’s trademark. Client understands that Client must submit evidence and pay the invoice in a timely manner so that Attorney can review and approve the evidence. Client understands that Client must pay $650.00 USD to submit the evidence to the USPTO for one class only (plus an additional $150.00 for 2 or more classes). If Client cannot show proof by the invoice deadline, Client understands that Client must file an Extension Request and pay a fee to do so ($650.00 USD for one class plus an additional $125.00 for 2 or more classes) to keep Client’s trademark application alive and active.</w:t>
      </w:r>
    </w:p>
    <w:p>
      <w:p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spacing w:after="140" w:line="276"/>
      </w:pPr>
      <w:r>
        <w:rPr>
          <w:rFonts w:ascii="Calibri" w:cs="Calibri" w:eastAsia="Calibri" w:hAnsi="Calibri"/>
          <w:sz w:val="21"/>
          <w:szCs w:val="21"/>
        </w:rPr>
        <w:t xml:space="preserve">Examination: An examining attorney reviews the application to determine whether federal law permits registration. If the examining attorney identifies an issue, the USPTO issues an Office Action, and Attorney responds on Client’s behalf to the extent included in the elected service tier.</w:t>
      </w:r>
    </w:p>
    <w:p>
      <w:pPr>
        <w:spacing w:after="140" w:line="276"/>
      </w:pPr>
      <w:r>
        <w:rPr>
          <w:rFonts w:ascii="Calibri" w:cs="Calibri" w:eastAsia="Calibri" w:hAnsi="Calibri"/>
          <w:sz w:val="21"/>
          <w:szCs w:val="21"/>
        </w:rPr>
        <w:t xml:space="preserve">Publication: If the examining attorney finds no grounds for refusal, the mark is published in the Official Gazette for a thirty (30) day period during which third parties may oppose registration.</w:t>
      </w:r>
    </w:p>
    <w:p>
      <w:pPr>
        <w:spacing w:after="140" w:line="276"/>
      </w:pPr>
      <w:r>
        <w:rPr>
          <w:rFonts w:ascii="Calibri" w:cs="Calibri" w:eastAsia="Calibri" w:hAnsi="Calibri"/>
          <w:sz w:val="21"/>
          <w:szCs w:val="21"/>
        </w:rPr>
        <w:t xml:space="preserve">Registration or Notice of Allowance: If no opposition is filed, a use-in-commerce application proceeds to registration. An intent-to-use application instead receives a Notice of Allowance, after which Client must submit evidence of use (a Statement of Use) or file an Extension Request before registration issues. USPTO fees and any additional Attorney fees associated with the Statement of Use or Extension Request stage are billed separately as those stages occur and are not included in the fees elected under Section 2.</w:t>
      </w:r>
    </w:p>
    <w:p>
      <w:pPr>
        <w:spacing w:after="140" w:line="276"/>
      </w:pPr>
      <w:r>
        <w:rPr>
          <w:rFonts w:ascii="Calibri" w:cs="Calibri" w:eastAsia="Calibri" w:hAnsi="Calibri"/>
          <w:sz w:val="21"/>
          <w:szCs w:val="21"/>
        </w:rPr>
        <w:t xml:space="preserve">Maintenance: Following registration, periodic maintenance filings are required to keep the registration active. Maintenance filings are not included in this engagement unless separately elected in writing.</w:t>
      </w:r>
    </w:p>
    <w:p>
      <w:pPr>
        <w:spacing w:after="140" w:line="276"/>
      </w:pPr>
      <w:r>
        <w:rPr>
          <w:rFonts w:ascii="Calibri" w:cs="Calibri" w:eastAsia="Calibri" w:hAnsi="Calibri"/>
          <w:sz w:val="21"/>
          <w:szCs w:val="21"/>
        </w:rPr>
        <w:t xml:space="preserve">Note: The following figures are drawn from the USPTO’s published trademark dashboard and processing wait times, current as of May 31, 2026, and supersede any timeframe discussed during Client’s intake. This reflects a straightforward application that does not receive an Office Action, opposition, or request for additional evidence. Any of those events will extend the timeline beyond the figures below. Attorney makes no guarantee of registration or of any timeframe.</w:t>
      </w:r>
    </w:p>
    <w:p>
      <w:pPr>
        <w:pStyle w:val="ListParagraph"/>
        <w:numPr>
          <w:ilvl w:val="0"/>
          <w:numId w:val="1"/>
        </w:numPr>
        <w:spacing w:after="140" w:line="276"/>
      </w:pPr>
      <w:r>
        <w:rPr>
          <w:rFonts w:ascii="Calibri" w:cs="Calibri" w:eastAsia="Calibri" w:hAnsi="Calibri"/>
          <w:sz w:val="21"/>
          <w:szCs w:val="21"/>
        </w:rPr>
        <w:t xml:space="preserve">Time from filing to first Office Action in the TSDR record: approximately 4.3 months on average; USPTO target 5.0 months.</w:t>
      </w:r>
    </w:p>
    <w:p>
      <w:pPr>
        <w:pStyle w:val="ListParagraph"/>
        <w:numPr>
          <w:ilvl w:val="0"/>
          <w:numId w:val="1"/>
        </w:numPr>
        <w:spacing w:after="140" w:line="276"/>
      </w:pPr>
      <w:r>
        <w:rPr>
          <w:rFonts w:ascii="Calibri" w:cs="Calibri" w:eastAsia="Calibri" w:hAnsi="Calibri"/>
          <w:sz w:val="21"/>
          <w:szCs w:val="21"/>
        </w:rPr>
        <w:t xml:space="preserve">Time from filing to registration or application abandonment: approximately 9.9 months on average; USPTO target 11.0 months.</w:t>
      </w:r>
    </w:p>
    <w:p>
      <w:pPr>
        <w:spacing w:after="100" w:before="200"/>
      </w:pPr>
      <w:r>
        <w:rPr>
          <w:rFonts w:ascii="Calibri" w:cs="Calibri" w:eastAsia="Calibri" w:hAnsi="Calibri"/>
          <w:b/>
          <w:bCs/>
          <w:color w:val="1F3050"/>
          <w:sz w:val="22"/>
          <w:szCs w:val="22"/>
        </w:rPr>
        <w:t xml:space="preserve">Section 9. Confidentiality</w:t>
      </w:r>
    </w:p>
    <w:p>
      <w:pPr>
        <w:spacing w:after="140" w:line="276"/>
      </w:pPr>
      <w:r>
        <w:rPr>
          <w:rFonts w:ascii="Calibri" w:cs="Calibri" w:eastAsia="Calibri" w:hAnsi="Calibri"/>
          <w:sz w:val="21"/>
          <w:szCs w:val="21"/>
        </w:rPr>
        <w:t xml:space="preserve">Attorney will maintain the confidentiality of Client information consistent with the applicable rules of professional conduct.</w:t>
      </w:r>
    </w:p>
    <w:p>
      <w:pPr>
        <w:spacing w:after="100" w:before="200"/>
      </w:pPr>
      <w:r>
        <w:rPr>
          <w:rFonts w:ascii="Calibri" w:cs="Calibri" w:eastAsia="Calibri" w:hAnsi="Calibri"/>
          <w:b/>
          <w:bCs/>
          <w:color w:val="1F3050"/>
          <w:sz w:val="22"/>
          <w:szCs w:val="22"/>
        </w:rPr>
        <w:t xml:space="preserve">Section 10. Conflicts of Interest</w:t>
      </w:r>
    </w:p>
    <w:p>
      <w:pPr>
        <w:spacing w:after="140" w:line="276"/>
      </w:pPr>
      <w:r>
        <w:rPr>
          <w:rFonts w:ascii="Calibri" w:cs="Calibri" w:eastAsia="Calibri" w:hAnsi="Calibri"/>
          <w:sz w:val="21"/>
          <w:szCs w:val="21"/>
        </w:rPr>
        <w:t xml:space="preserve">Attorney is not aware of any conflict of interest with this engagement. Client agrees to notify Attorney promptly if Client becomes aware of any potential conflict.</w:t>
      </w:r>
    </w:p>
    <w:p>
      <w:pPr>
        <w:spacing w:after="100" w:before="200"/>
      </w:pPr>
      <w:r>
        <w:rPr>
          <w:rFonts w:ascii="Calibri" w:cs="Calibri" w:eastAsia="Calibri" w:hAnsi="Calibri"/>
          <w:b/>
          <w:bCs/>
          <w:color w:val="1F3050"/>
          <w:sz w:val="22"/>
          <w:szCs w:val="22"/>
        </w:rPr>
        <w:t xml:space="preserve">Section 11. No Guarantee of Outcome or Estimates</w:t>
      </w:r>
    </w:p>
    <w:p>
      <w:pPr>
        <w:spacing w:after="140" w:line="276"/>
      </w:pPr>
      <w:r>
        <w:rPr>
          <w:rFonts w:ascii="Calibri" w:cs="Calibri" w:eastAsia="Calibri" w:hAnsi="Calibri"/>
          <w:sz w:val="21"/>
          <w:szCs w:val="21"/>
        </w:rPr>
        <w:t xml:space="preserve">Nothing in this Agreement or Attorney’s statements to Client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Client’s trademark.</w:t>
      </w:r>
    </w:p>
    <w:p>
      <w:pPr>
        <w:spacing w:after="140" w:line="276"/>
      </w:pPr>
      <w:r>
        <w:rPr>
          <w:rFonts w:ascii="Calibri" w:cs="Calibri" w:eastAsia="Calibri" w:hAnsi="Calibri"/>
          <w:sz w:val="21"/>
          <w:szCs w:val="21"/>
        </w:rPr>
        <w:t xml:space="preserve">Client further understands that if Client does not timely pay Client’s invoice for either the statement of use or extension request by the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12. Malpractice Insurance Disclosure</w:t>
      </w:r>
    </w:p>
    <w:p>
      <w:pPr>
        <w:spacing w:after="140" w:line="276"/>
      </w:pPr>
      <w:r>
        <w:rPr>
          <w:rFonts w:ascii="Calibri" w:cs="Calibri" w:eastAsia="Calibri" w:hAnsi="Calibri"/>
          <w:sz w:val="21"/>
          <w:szCs w:val="21"/>
        </w:rPr>
        <w:t xml:space="preserve">Attorney maintains professional liability insurance.</w:t>
      </w:r>
    </w:p>
    <w:p>
      <w:pPr>
        <w:spacing w:after="100" w:before="200"/>
      </w:pPr>
      <w:r>
        <w:rPr>
          <w:rFonts w:ascii="Calibri" w:cs="Calibri" w:eastAsia="Calibri" w:hAnsi="Calibri"/>
          <w:b/>
          <w:bCs/>
          <w:color w:val="1F3050"/>
          <w:sz w:val="22"/>
          <w:szCs w:val="22"/>
        </w:rPr>
        <w:t xml:space="preserve">Section 13. Termination of Representation</w:t>
      </w:r>
    </w:p>
    <w:p>
      <w:pPr>
        <w:spacing w:after="140" w:line="276"/>
      </w:pPr>
      <w:r>
        <w:rPr>
          <w:rFonts w:ascii="Calibri" w:cs="Calibri" w:eastAsia="Calibri" w:hAnsi="Calibri"/>
          <w:sz w:val="21"/>
          <w:szCs w:val="21"/>
        </w:rPr>
        <w:t xml:space="preserve">Either Attorney or Client may terminate this engagement upon written notice. Client remains responsible for fees earned and costs incurred through the date of termination.</w:t>
      </w:r>
    </w:p>
    <w:p>
      <w:pPr>
        <w:spacing w:after="100" w:before="200"/>
      </w:pPr>
      <w:r>
        <w:rPr>
          <w:rFonts w:ascii="Calibri" w:cs="Calibri" w:eastAsia="Calibri" w:hAnsi="Calibri"/>
          <w:b/>
          <w:bCs/>
          <w:color w:val="1F3050"/>
          <w:sz w:val="22"/>
          <w:szCs w:val="22"/>
        </w:rPr>
        <w:t xml:space="preserve">Section 14. Trust Account (IOLTA) Administration</w:t>
      </w:r>
    </w:p>
    <w:p>
      <w:pPr>
        <w:spacing w:after="140" w:line="276"/>
      </w:pPr>
      <w:r>
        <w:rPr>
          <w:rFonts w:ascii="Calibri" w:cs="Calibri" w:eastAsia="Calibri" w:hAnsi="Calibri"/>
          <w:sz w:val="21"/>
          <w:szCs w:val="21"/>
        </w:rPr>
        <w:t xml:space="preserve">Installment payments received in advance of work performed will be deposited into Attorney’s IOLTA trust account and transferred to Attorney’s operating account as fees are earned upon completion of the corresponding milestone.</w:t>
      </w:r>
    </w:p>
    <w:p>
      <w:pPr>
        <w:spacing w:after="100" w:before="200"/>
      </w:pPr>
      <w:r>
        <w:rPr>
          <w:rFonts w:ascii="Calibri" w:cs="Calibri" w:eastAsia="Calibri" w:hAnsi="Calibri"/>
          <w:b/>
          <w:bCs/>
          <w:color w:val="1F3050"/>
          <w:sz w:val="22"/>
          <w:szCs w:val="22"/>
        </w:rPr>
        <w:t xml:space="preserve">Section 15. Electronic Communications and Delivery Consent</w:t>
      </w:r>
    </w:p>
    <w:p>
      <w:pPr>
        <w:spacing w:after="140" w:line="276"/>
      </w:pPr>
      <w:r>
        <w:rPr>
          <w:rFonts w:ascii="Calibri" w:cs="Calibri" w:eastAsia="Calibri" w:hAnsi="Calibri"/>
          <w:sz w:val="21"/>
          <w:szCs w:val="21"/>
        </w:rPr>
        <w:t xml:space="preserve">Client consents to receive this Agreement, invoices, deliverables, and other communications electronically via their client portal or the email address on file. Client is responsible for notifying Attorney promptly of any change to Client’s contact information.</w:t>
      </w:r>
    </w:p>
    <w:p>
      <w:pPr>
        <w:spacing w:after="100" w:before="200"/>
      </w:pPr>
      <w:r>
        <w:rPr>
          <w:rFonts w:ascii="Calibri" w:cs="Calibri" w:eastAsia="Calibri" w:hAnsi="Calibri"/>
          <w:b/>
          <w:bCs/>
          <w:color w:val="1F3050"/>
          <w:sz w:val="22"/>
          <w:szCs w:val="22"/>
        </w:rPr>
        <w:t xml:space="preserve">Section 16. Governing Law and Jurisdiction</w:t>
      </w:r>
    </w:p>
    <w:p>
      <w:pPr>
        <w:spacing w:after="140" w:line="276"/>
      </w:pPr>
      <w:r>
        <w:rPr>
          <w:rFonts w:ascii="Calibri" w:cs="Calibri" w:eastAsia="Calibri" w:hAnsi="Calibri"/>
          <w:sz w:val="21"/>
          <w:szCs w:val="21"/>
        </w:rPr>
        <w:t xml:space="preserve">This Agreement is governed by the laws of the State of Texas.</w:t>
      </w:r>
    </w:p>
    <w:p>
      <w:pPr>
        <w:spacing w:after="100" w:before="200"/>
      </w:pPr>
      <w:r>
        <w:rPr>
          <w:rFonts w:ascii="Calibri" w:cs="Calibri" w:eastAsia="Calibri" w:hAnsi="Calibri"/>
          <w:b/>
          <w:bCs/>
          <w:color w:val="1F3050"/>
          <w:sz w:val="22"/>
          <w:szCs w:val="22"/>
        </w:rPr>
        <w:t xml:space="preserve">Section 17. Arbitration</w:t>
      </w:r>
    </w:p>
    <w:p>
      <w:pPr>
        <w:spacing w:after="140" w:line="276"/>
      </w:pPr>
      <w:r>
        <w:rPr>
          <w:rFonts w:ascii="Calibri" w:cs="Calibri" w:eastAsia="Calibri" w:hAnsi="Calibri"/>
          <w:sz w:val="21"/>
          <w:szCs w:val="21"/>
        </w:rPr>
        <w:t xml:space="preserve">If a dispute arises out of or related to a claimed breach of this Agreement, or any other disagreement of any nature, regardless of the facts or legal theories involved, the dispute will be resolved by binding arbitration before a single arbitrator through the State Bar of Texas. Each side will bear its own costs and attorneys’ fees. The parties waive their right to a jury trial. Prior to arbitration, the parties will make a good faith effort to resolve the dispute without outside intervention. Client agrees that, to constitute a good faith effort, Client must give the Firm written notice of any dispute about costs, fees, or expenses within seven (7) days of the date Client receives the Firm’s invoice.</w:t>
      </w:r>
    </w:p>
    <w:p>
      <w:pPr>
        <w:spacing w:after="100" w:before="200"/>
      </w:pPr>
      <w:r>
        <w:rPr>
          <w:rFonts w:ascii="Calibri" w:cs="Calibri" w:eastAsia="Calibri" w:hAnsi="Calibri"/>
          <w:b/>
          <w:bCs/>
          <w:color w:val="1F3050"/>
          <w:sz w:val="22"/>
          <w:szCs w:val="22"/>
        </w:rPr>
        <w:t xml:space="preserve">Section 18.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above and supersedes any prior discussions or understandings, written or oral.</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2026-09-13T19:54:00.908Z</dcterms:created>
  <dcterms:modified xsi:type="dcterms:W3CDTF">2026-09-13T19:54:00.908Z</dcterms:modified>
</cp:coreProperties>
</file>

<file path=docProps/custom.xml><?xml version="1.0" encoding="utf-8"?>
<Properties xmlns="http://schemas.openxmlformats.org/officeDocument/2006/custom-properties" xmlns:vt="http://schemas.openxmlformats.org/officeDocument/2006/docPropsVTypes"/>
</file>