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Copyright Registration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considering Attorney Jennifer Brantley and J Brantley Law, PLLC, for the copyright registration services described below. This letter sets forth the terms under which the Firm will represent Client in connection with registration of Client’s {{answers.work_title}} (the "Work") with the United States Copyright Office.</w:t>
      </w:r>
    </w:p>
    <w:p>
      <w:pPr>
        <w:spacing w:after="140" w:line="276"/>
      </w:pPr>
      <w:r>
        <w:rPr>
          <w:rFonts w:ascii="Calibri" w:cs="Calibri" w:eastAsia="Calibri" w:hAnsi="Calibri"/>
          <w:sz w:val="21"/>
          <w:szCs w:val="21"/>
        </w:rPr>
        <w:t xml:space="preserve">No attorney-client relationship exists between Attorney and Client, and no work will commence under this Agreement, until: (1) this Agreement has been signed by Client and countersigned by Attorney; and (2) the applicable deposit described in Section 4(B) has been received and confirmed by the Firm. Prior communications between the parties, including any consultation call, do not by themselves establish an attorney-client relationship.</w:t>
      </w:r>
    </w:p>
    <w:p>
      <w:pPr>
        <w:spacing w:after="100" w:before="200"/>
      </w:pPr>
      <w:r>
        <w:rPr>
          <w:rFonts w:ascii="Calibri" w:cs="Calibri" w:eastAsia="Calibri" w:hAnsi="Calibri"/>
          <w:b/>
          <w:bCs/>
          <w:color w:val="1F3050"/>
          <w:sz w:val="22"/>
          <w:szCs w:val="22"/>
        </w:rPr>
        <w:t xml:space="preserve">Section 1. Available Services</w:t>
      </w:r>
    </w:p>
    <w:p>
      <w:pPr>
        <w:spacing w:after="140" w:line="276"/>
      </w:pPr>
      <w:r>
        <w:rPr>
          <w:rFonts w:ascii="Calibri" w:cs="Calibri" w:eastAsia="Calibri" w:hAnsi="Calibri"/>
          <w:sz w:val="21"/>
          <w:szCs w:val="21"/>
        </w:rPr>
        <w:t xml:space="preserve">Client may elect the copyright registration service described below. This Agreement is structured to cover a single Work as elected in Section 2, with the option to add further works at the fee stated below.</w:t>
      </w:r>
    </w:p>
    <w:p>
      <w:pPr>
        <w:spacing w:after="140" w:line="276"/>
      </w:pPr>
      <w:r>
        <w:rPr>
          <w:rFonts w:ascii="Calibri" w:cs="Calibri" w:eastAsia="Calibri" w:hAnsi="Calibri"/>
          <w:sz w:val="21"/>
          <w:szCs w:val="21"/>
        </w:rPr>
        <w:t xml:space="preserve">United States Copyright Office filing fees described throughout this Section are charged directly by the United States Copyright Office. These fees are entirely separate from, and in addition to, Attorney’s fees described below. They are not part of Attorney’s compensation and are paid directly to the federal government.</w:t>
      </w:r>
    </w:p>
    <w:p>
      <w:pPr>
        <w:spacing w:after="140" w:line="276"/>
      </w:pPr>
      <w:r>
        <w:rPr>
          <w:rFonts w:ascii="Calibri" w:cs="Calibri" w:eastAsia="Calibri" w:hAnsi="Calibri"/>
          <w:sz w:val="21"/>
          <w:szCs w:val="21"/>
        </w:rPr>
        <w:t xml:space="preserve">Copyright Office Filing Fees, Explained: As of the date of this Agreement, the Copyright Office charges $45.00 to file a single application online for one work with one author and one claimant that is not a work made for hire, and $65.00 to file a standard application online for most other claims, including works with multiple authors or claimants. Paper filing, where permitted, carries a fee of $125.00. These figures are published by the Copyright Office, are subject to change without notice to Attorney, and will be confirmed to Client at the time of filing.</w:t>
      </w:r>
    </w:p>
    <w:p>
      <w:pPr>
        <w:spacing w:after="140" w:line="276"/>
      </w:pPr>
      <w:r>
        <w:rPr>
          <w:rFonts w:ascii="Calibri" w:cs="Calibri" w:eastAsia="Calibri" w:hAnsi="Calibri"/>
          <w:sz w:val="21"/>
          <w:szCs w:val="21"/>
        </w:rPr>
        <w:t xml:space="preserve">(A) Copyright Registration Application</w:t>
      </w:r>
    </w:p>
    <w:p>
      <w:pPr>
        <w:spacing w:after="140" w:line="276"/>
      </w:pPr>
      <w:r>
        <w:rPr>
          <w:rFonts w:ascii="Calibri" w:cs="Calibri" w:eastAsia="Calibri" w:hAnsi="Calibri"/>
          <w:sz w:val="21"/>
          <w:szCs w:val="21"/>
        </w:rPr>
        <w:t xml:space="preserve">Attorney will prepare and file an application for federal copyright registration of the Work with the United States Copyright Office, including preparation of the deposit copy, submission of the applicable Copyright Office filing fee on Client’s behalf, and a response to one round of Copyright Office correspondence, if issued. Attorney will complete and file the application within ten (10) business days of receipt of all materials necessary to complete the application.</w:t>
      </w:r>
    </w:p>
    <w:p>
      <w:pPr>
        <w:spacing w:after="140" w:line="276"/>
      </w:pPr>
      <w:r>
        <w:rPr>
          <w:rFonts w:ascii="Calibri" w:cs="Calibri" w:eastAsia="Calibri" w:hAnsi="Calibri"/>
          <w:sz w:val="21"/>
          <w:szCs w:val="21"/>
        </w:rPr>
        <w:t xml:space="preserve">Client elects: {{answers.works_elected}}, plus the applicable Copyright Office filing fee per work described above.</w:t>
      </w:r>
    </w:p>
    <w:p>
      <w:pPr>
        <w:spacing w:after="140" w:line="276"/>
      </w:pPr>
      <w:r>
        <w:rPr>
          <w:rFonts w:ascii="Calibri" w:cs="Calibri" w:eastAsia="Calibri" w:hAnsi="Calibri"/>
          <w:sz w:val="21"/>
          <w:szCs w:val="21"/>
        </w:rPr>
        <w:t xml:space="preserve">This engagement covers registration of a single Work under one application. If Client later elects to register additional works, each additional work requires a separate application and fee, unless the works qualify for registration together under one of the Copyright Office’s group registration options for unpublished works, eligible serials, or short online literary works. Attorney will advise Client whether a particular group of works qualifies.</w:t>
      </w:r>
    </w:p>
    <w:p>
      <w:pPr>
        <w:spacing w:after="140" w:line="276"/>
      </w:pPr>
      <w:r>
        <w:rPr>
          <w:rFonts w:ascii="Calibri" w:cs="Calibri" w:eastAsia="Calibri" w:hAnsi="Calibri"/>
          <w:sz w:val="21"/>
          <w:szCs w:val="21"/>
        </w:rPr>
        <w:t xml:space="preserve">(B) Acknowledgement Regarding Other Intellectual Property Protections (Excluded from this Agreement)</w:t>
      </w:r>
    </w:p>
    <w:p>
      <w:pPr>
        <w:spacing w:after="140" w:line="276"/>
      </w:pPr>
      <w:r>
        <w:rPr>
          <w:rFonts w:ascii="Calibri" w:cs="Calibri" w:eastAsia="Calibri" w:hAnsi="Calibri"/>
          <w:sz w:val="21"/>
          <w:szCs w:val="21"/>
        </w:rPr>
        <w:t xml:space="preserve">Copyright registration protects the original literary authorship fixed in the Work itself. It does not protect titles, names, slogans, or short phrases used in connection with the Work, which may instead be eligible for trademark protection, and it does not protect any invention or functional feature described or depicted in the Work, which may instead be eligible for patent protection. Trademark and patent matters are both specifically excluded from this engagement. Attorney assists clients with trademark matters as a separate engagement upon request but does not provide patent services of any kind. Clients who wish to pursue patent protection should consult separate patent counsel.</w:t>
      </w:r>
    </w:p>
    <w:p>
      <w:pPr>
        <w:spacing w:after="100" w:before="200"/>
      </w:pPr>
      <w:r>
        <w:rPr>
          <w:rFonts w:ascii="Calibri" w:cs="Calibri" w:eastAsia="Calibri" w:hAnsi="Calibri"/>
          <w:b/>
          <w:bCs/>
          <w:color w:val="1F3050"/>
          <w:sz w:val="22"/>
          <w:szCs w:val="22"/>
        </w:rPr>
        <w:t xml:space="preserve">Section 2. Confirmation of Elected Services</w:t>
      </w:r>
    </w:p>
    <w:p>
      <w:pPr>
        <w:spacing w:after="140" w:line="276"/>
      </w:pPr>
      <w:r>
        <w:rPr>
          <w:rFonts w:ascii="Calibri" w:cs="Calibri" w:eastAsia="Calibri" w:hAnsi="Calibri"/>
          <w:sz w:val="21"/>
          <w:szCs w:val="21"/>
        </w:rPr>
        <w:t xml:space="preserve">Client elects the following services, consistent with the elections marked in Section 1:</w:t>
      </w:r>
    </w:p>
    <w:p>
      <w:pPr>
        <w:spacing w:after="140" w:line="276"/>
      </w:pPr>
      <w:r>
        <w:rPr>
          <w:rFonts w:ascii="Calibri" w:cs="Calibri" w:eastAsia="Calibri" w:hAnsi="Calibri"/>
          <w:sz w:val="21"/>
          <w:szCs w:val="21"/>
        </w:rPr>
        <w:t xml:space="preserve">Title of Work(s): {{answers.work_title}}</w:t>
      </w:r>
    </w:p>
    <w:p>
      <w:pPr>
        <w:spacing w:after="140" w:line="276"/>
      </w:pPr>
      <w:r>
        <w:rPr>
          <w:rFonts w:ascii="Calibri" w:cs="Calibri" w:eastAsia="Calibri" w:hAnsi="Calibri"/>
          <w:sz w:val="21"/>
          <w:szCs w:val="21"/>
        </w:rPr>
        <w:t xml:space="preserve">Number of Works elected: {{answers.works_elected}}</w:t>
      </w:r>
    </w:p>
    <w:p>
      <w:pPr>
        <w:spacing w:after="100" w:before="200"/>
      </w:pPr>
      <w:r>
        <w:rPr>
          <w:rFonts w:ascii="Calibri" w:cs="Calibri" w:eastAsia="Calibri" w:hAnsi="Calibri"/>
          <w:b/>
          <w:bCs/>
          <w:color w:val="1F3050"/>
          <w:sz w:val="22"/>
          <w:szCs w:val="22"/>
        </w:rPr>
        <w:t xml:space="preserve">Section 3. Out of Scope</w:t>
      </w:r>
    </w:p>
    <w:p>
      <w:pPr>
        <w:spacing w:after="140" w:line="276"/>
      </w:pPr>
      <w:r>
        <w:rPr>
          <w:rFonts w:ascii="Calibri" w:cs="Calibri" w:eastAsia="Calibri" w:hAnsi="Calibri"/>
          <w:sz w:val="21"/>
          <w:szCs w:val="21"/>
        </w:rPr>
        <w:t xml:space="preserve">The following are outside the scope of this engagement unless separately elected in writing: any work not identified in Section 2; supplementary or corrected registrations; copyright infringement demand letters, litigation, or enforcement of any kind; trademark, trade dress, or patent matters; business formation or general contract drafting; international copyright filings; and any matter not expressly described in Section 1.</w:t>
      </w:r>
    </w:p>
    <w:p>
      <w:pPr>
        <w:spacing w:after="100" w:before="200"/>
      </w:pPr>
      <w:r>
        <w:rPr>
          <w:rFonts w:ascii="Calibri" w:cs="Calibri" w:eastAsia="Calibri" w:hAnsi="Calibri"/>
          <w:b/>
          <w:bCs/>
          <w:color w:val="1F3050"/>
          <w:sz w:val="22"/>
          <w:szCs w:val="22"/>
        </w:rPr>
        <w:t xml:space="preserve">Section 4. Fees, Trust Account, and Billing</w:t>
      </w:r>
    </w:p>
    <w:p>
      <w:pPr>
        <w:spacing w:after="140" w:line="276"/>
      </w:pPr>
      <w:r>
        <w:rPr>
          <w:rFonts w:ascii="Calibri" w:cs="Calibri" w:eastAsia="Calibri" w:hAnsi="Calibri"/>
          <w:sz w:val="21"/>
          <w:szCs w:val="21"/>
        </w:rPr>
        <w:t xml:space="preserve">(A) General</w:t>
      </w:r>
    </w:p>
    <w:p>
      <w:pPr>
        <w:spacing w:after="140" w:line="276"/>
      </w:pPr>
      <w:r>
        <w:rPr>
          <w:rFonts w:ascii="Calibri" w:cs="Calibri" w:eastAsia="Calibri" w:hAnsi="Calibri"/>
          <w:sz w:val="21"/>
          <w:szCs w:val="21"/>
        </w:rPr>
        <w:t xml:space="preserve">All attorney fees described in Section 1 are flat fees. Fees are deposited into the Firm’s IOLTA trust account upon receipt and are transferred to the Firm’s operating account upon completion of the applicable service milestone, as described in subsection (B) below. Payments are payable to: Jennifer N. Brantley, Esq. IOLTA Trust Account.</w:t>
      </w:r>
    </w:p>
    <w:p>
      <w:pPr>
        <w:spacing w:after="140" w:line="276"/>
      </w:pPr>
      <w:r>
        <w:rPr>
          <w:rFonts w:ascii="Calibri" w:cs="Calibri" w:eastAsia="Calibri" w:hAnsi="Calibri"/>
          <w:sz w:val="21"/>
          <w:szCs w:val="21"/>
        </w:rPr>
        <w:t xml:space="preserve">(B) Deposit and Trust Transfer Schedule</w:t>
      </w:r>
    </w:p>
    <w:p>
      <w:pPr>
        <w:spacing w:after="140" w:line="276"/>
      </w:pPr>
      <w:r>
        <w:rPr>
          <w:rFonts w:ascii="Calibri" w:cs="Calibri" w:eastAsia="Calibri" w:hAnsi="Calibri"/>
          <w:sz w:val="21"/>
          <w:szCs w:val="21"/>
        </w:rPr>
        <w:t xml:space="preserve">A deposit of fifty percent (50%) of the total elected attorney fee is due at signing of this Agreement and is credited against the first service milestone. The remaining balance is due prior to filing. Copyright Office filing fees are due in full prior to submission and are non-refundable once submitted.</w:t>
      </w:r>
    </w:p>
    <w:p>
      <w:pPr>
        <w:pStyle w:val="ListParagraph"/>
        <w:numPr>
          <w:ilvl w:val="0"/>
          <w:numId w:val="1"/>
        </w:numPr>
        <w:spacing w:after="140" w:line="276"/>
      </w:pPr>
      <w:r>
        <w:rPr>
          <w:rFonts w:ascii="Calibri" w:cs="Calibri" w:eastAsia="Calibri" w:hAnsi="Calibri"/>
          <w:sz w:val="21"/>
          <w:szCs w:val="21"/>
        </w:rPr>
        <w:t xml:space="preserve">Copyright Registration Application filed: 50% deposit transferred at signing; remaining 50% transferred upon confirmed filing with the United States Copyright Office.</w:t>
      </w:r>
    </w:p>
    <w:p>
      <w:pPr>
        <w:spacing w:after="140" w:line="276"/>
      </w:pPr>
      <w:r>
        <w:rPr>
          <w:rFonts w:ascii="Calibri" w:cs="Calibri" w:eastAsia="Calibri" w:hAnsi="Calibri"/>
          <w:sz w:val="21"/>
          <w:szCs w:val="21"/>
        </w:rPr>
        <w:t xml:space="preserve">(C) Billing Statements</w:t>
      </w:r>
    </w:p>
    <w:p>
      <w:pPr>
        <w:spacing w:after="140" w:line="276"/>
      </w:pPr>
      <w:r>
        <w:rPr>
          <w:rFonts w:ascii="Calibri" w:cs="Calibri" w:eastAsia="Calibri" w:hAnsi="Calibri"/>
          <w:sz w:val="21"/>
          <w:szCs w:val="21"/>
        </w:rPr>
        <w:t xml:space="preserve">The Firm may send Client periodic invoices for fees and costs incurred as described in this Section 4. Any balance is due in full within seven (7) days of receipt of the invoice, unless otherwise stated in writing. Client with a card on file authorizes the Firm to automatically charge that card for any balance not paid within seven (7) days. Client without a card on file is subject to a late fee of 1.5% per month (18% per annum), or the maximum permitted by applicable law, whichever is less, on any balance unpaid after seven (7) days. The Firm reserves the right to bill for after-hours voicemails, texts, and emails reviewed or responded to outside of the business hours described in Section 5, and reserves the right to delete after-hours voicemails without obligation to retain them. The Firm reserves the right to suspend services on any account with an outstanding balance.</w:t>
      </w:r>
    </w:p>
    <w:p>
      <w:pPr>
        <w:spacing w:after="140" w:line="276"/>
      </w:pPr>
      <w:r>
        <w:rPr>
          <w:rFonts w:ascii="Calibri" w:cs="Calibri" w:eastAsia="Calibri" w:hAnsi="Calibri"/>
          <w:sz w:val="21"/>
          <w:szCs w:val="21"/>
        </w:rPr>
        <w:t xml:space="preserve">Statements not paid by their due date may result in adverse consequences to Client’s application, including delay, abandonment, or the Firm’s withdrawal, as further described in Section 14.</w:t>
      </w:r>
    </w:p>
    <w:p>
      <w:pPr>
        <w:spacing w:after="100" w:before="200"/>
      </w:pPr>
      <w:r>
        <w:rPr>
          <w:rFonts w:ascii="Calibri" w:cs="Calibri" w:eastAsia="Calibri" w:hAnsi="Calibri"/>
          <w:b/>
          <w:bCs/>
          <w:color w:val="1F3050"/>
          <w:sz w:val="22"/>
          <w:szCs w:val="22"/>
        </w:rPr>
        <w:t xml:space="preserve">Section 5. Communications</w:t>
      </w:r>
    </w:p>
    <w:p>
      <w:pPr>
        <w:spacing w:after="140" w:line="276"/>
      </w:pPr>
      <w:r>
        <w:rPr>
          <w:rFonts w:ascii="Calibri" w:cs="Calibri" w:eastAsia="Calibri" w:hAnsi="Calibri"/>
          <w:sz w:val="21"/>
          <w:szCs w:val="21"/>
        </w:rPr>
        <w:t xml:space="preserve">The Firm’s business hours are Monday through Friday, 9:30 a.m. to 4:30 p.m. Central Time. The primary method of communication is by email to jbrantley@jenniferbrantleylaw.com or by telephone to (210) 742-2435 during business hours. Client understands that timely responses to Attorney’s requests, including requests for the final copy of the Work, deposit materials, signatures, or additional information requested by the Copyright Office, are necessary to keep this engagement on track. Failure to respond in a timely manner may result in deemed acceptance of deliverables as described in Section 7, suspension of services, accrual of delay fees, or extension of deadlines without liability to the Firm.</w:t>
      </w:r>
    </w:p>
    <w:p>
      <w:pPr>
        <w:spacing w:after="100" w:before="200"/>
      </w:pPr>
      <w:r>
        <w:rPr>
          <w:rFonts w:ascii="Calibri" w:cs="Calibri" w:eastAsia="Calibri" w:hAnsi="Calibri"/>
          <w:b/>
          <w:bCs/>
          <w:color w:val="1F3050"/>
          <w:sz w:val="22"/>
          <w:szCs w:val="22"/>
        </w:rPr>
        <w:t xml:space="preserve">Section 6. Client Responsibilities</w:t>
      </w:r>
    </w:p>
    <w:p>
      <w:pPr>
        <w:pStyle w:val="ListParagraph"/>
        <w:numPr>
          <w:ilvl w:val="0"/>
          <w:numId w:val="1"/>
        </w:numPr>
        <w:spacing w:after="140" w:line="276"/>
      </w:pPr>
      <w:r>
        <w:rPr>
          <w:rFonts w:ascii="Calibri" w:cs="Calibri" w:eastAsia="Calibri" w:hAnsi="Calibri"/>
          <w:sz w:val="21"/>
          <w:szCs w:val="21"/>
        </w:rPr>
        <w:t xml:space="preserve">Submitting a complete and final copy of the Work suitable for use as the deposit copy.</w:t>
      </w:r>
    </w:p>
    <w:p>
      <w:pPr>
        <w:pStyle w:val="ListParagraph"/>
        <w:numPr>
          <w:ilvl w:val="0"/>
          <w:numId w:val="1"/>
        </w:numPr>
        <w:spacing w:after="140" w:line="276"/>
      </w:pPr>
      <w:r>
        <w:rPr>
          <w:rFonts w:ascii="Calibri" w:cs="Calibri" w:eastAsia="Calibri" w:hAnsi="Calibri"/>
          <w:sz w:val="21"/>
          <w:szCs w:val="21"/>
        </w:rPr>
        <w:t xml:space="preserve">Providing complete and accurate information regarding authorship, claimant status, and any co-authors, collaborators, or works made for hire.</w:t>
      </w:r>
    </w:p>
    <w:p>
      <w:pPr>
        <w:pStyle w:val="ListParagraph"/>
        <w:numPr>
          <w:ilvl w:val="0"/>
          <w:numId w:val="1"/>
        </w:numPr>
        <w:spacing w:after="140" w:line="276"/>
      </w:pPr>
      <w:r>
        <w:rPr>
          <w:rFonts w:ascii="Calibri" w:cs="Calibri" w:eastAsia="Calibri" w:hAnsi="Calibri"/>
          <w:sz w:val="21"/>
          <w:szCs w:val="21"/>
        </w:rPr>
        <w:t xml:space="preserve">Disclosing any prior publication, registration, or licensing of the Work.</w:t>
      </w:r>
    </w:p>
    <w:p>
      <w:pPr>
        <w:pStyle w:val="ListParagraph"/>
        <w:numPr>
          <w:ilvl w:val="0"/>
          <w:numId w:val="1"/>
        </w:numPr>
        <w:spacing w:after="140" w:line="276"/>
      </w:pPr>
      <w:r>
        <w:rPr>
          <w:rFonts w:ascii="Calibri" w:cs="Calibri" w:eastAsia="Calibri" w:hAnsi="Calibri"/>
          <w:sz w:val="21"/>
          <w:szCs w:val="21"/>
        </w:rPr>
        <w:t xml:space="preserve">Designating a single point of contact authorized to communicate with Attorney.</w:t>
      </w:r>
    </w:p>
    <w:p>
      <w:pPr>
        <w:pStyle w:val="ListParagraph"/>
        <w:numPr>
          <w:ilvl w:val="0"/>
          <w:numId w:val="1"/>
        </w:numPr>
        <w:spacing w:after="140" w:line="276"/>
      </w:pPr>
      <w:r>
        <w:rPr>
          <w:rFonts w:ascii="Calibri" w:cs="Calibri" w:eastAsia="Calibri" w:hAnsi="Calibri"/>
          <w:sz w:val="21"/>
          <w:szCs w:val="21"/>
        </w:rPr>
        <w:t xml:space="preserve">Responding timely to any Copyright Office correspondence forwarded by Attorney.</w:t>
      </w:r>
    </w:p>
    <w:p>
      <w:pPr>
        <w:spacing w:after="100" w:before="200"/>
      </w:pPr>
      <w:r>
        <w:rPr>
          <w:rFonts w:ascii="Calibri" w:cs="Calibri" w:eastAsia="Calibri" w:hAnsi="Calibri"/>
          <w:b/>
          <w:bCs/>
          <w:color w:val="1F3050"/>
          <w:sz w:val="22"/>
          <w:szCs w:val="22"/>
        </w:rPr>
        <w:t xml:space="preserve">Section 7. Deliverables and Acceptance</w:t>
      </w:r>
    </w:p>
    <w:p>
      <w:pPr>
        <w:spacing w:after="140" w:line="276"/>
      </w:pPr>
      <w:r>
        <w:rPr>
          <w:rFonts w:ascii="Calibri" w:cs="Calibri" w:eastAsia="Calibri" w:hAnsi="Calibri"/>
          <w:sz w:val="21"/>
          <w:szCs w:val="21"/>
        </w:rPr>
        <w:t xml:space="preserve">Where applicable, Client has five (5) business days from delivery of any deliverable to provide written feedback or objection. Absent a timely written objection, the deliverable is deemed accepted. This period runs from the date of delivery, not from the date Client confirms receipt.</w:t>
      </w:r>
    </w:p>
    <w:p>
      <w:pPr>
        <w:spacing w:after="100" w:before="200"/>
      </w:pPr>
      <w:r>
        <w:rPr>
          <w:rFonts w:ascii="Calibri" w:cs="Calibri" w:eastAsia="Calibri" w:hAnsi="Calibri"/>
          <w:b/>
          <w:bCs/>
          <w:color w:val="1F3050"/>
          <w:sz w:val="22"/>
          <w:szCs w:val="22"/>
        </w:rPr>
        <w:t xml:space="preserve">Section 8. File Retention</w:t>
      </w:r>
    </w:p>
    <w:p>
      <w:pPr>
        <w:spacing w:after="140" w:line="276"/>
      </w:pPr>
      <w:r>
        <w:rPr>
          <w:rFonts w:ascii="Calibri" w:cs="Calibri" w:eastAsia="Calibri" w:hAnsi="Calibri"/>
          <w:sz w:val="21"/>
          <w:szCs w:val="21"/>
        </w:rPr>
        <w:t xml:space="preserve">Attorney will retain the file for this engagement for five (5) years after its conclusion, after which Attorney may destroy the file without further notice to Client.</w:t>
      </w:r>
    </w:p>
    <w:p>
      <w:pPr>
        <w:spacing w:after="100" w:before="200"/>
      </w:pPr>
      <w:r>
        <w:rPr>
          <w:rFonts w:ascii="Calibri" w:cs="Calibri" w:eastAsia="Calibri" w:hAnsi="Calibri"/>
          <w:b/>
          <w:bCs/>
          <w:color w:val="1F3050"/>
          <w:sz w:val="22"/>
          <w:szCs w:val="22"/>
        </w:rPr>
        <w:t xml:space="preserve">Section 9. Conflicts of Interest</w:t>
      </w:r>
    </w:p>
    <w:p>
      <w:pPr>
        <w:spacing w:after="140" w:line="276"/>
      </w:pPr>
      <w:r>
        <w:rPr>
          <w:rFonts w:ascii="Calibri" w:cs="Calibri" w:eastAsia="Calibri" w:hAnsi="Calibri"/>
          <w:sz w:val="21"/>
          <w:szCs w:val="21"/>
        </w:rPr>
        <w:t xml:space="preserve">Attorney represents other clients in unrelated matters and may continue to do so during this engagement. Based on the information currently available, Attorney has not identified a conflict of interest in undertaking this engagement and will not use or disclose confidential information of another client in the course of this representation. Client will promptly inform Attorney of any fact that may give rise to a conflict.</w:t>
      </w:r>
    </w:p>
    <w:p>
      <w:pPr>
        <w:spacing w:after="100" w:before="200"/>
      </w:pPr>
      <w:r>
        <w:rPr>
          <w:rFonts w:ascii="Calibri" w:cs="Calibri" w:eastAsia="Calibri" w:hAnsi="Calibri"/>
          <w:b/>
          <w:bCs/>
          <w:color w:val="1F3050"/>
          <w:sz w:val="22"/>
          <w:szCs w:val="22"/>
        </w:rPr>
        <w:t xml:space="preserve">Section 10. Authorization to Act as Agent</w:t>
      </w:r>
    </w:p>
    <w:p>
      <w:pPr>
        <w:spacing w:after="140" w:line="276"/>
      </w:pPr>
      <w:r>
        <w:rPr>
          <w:rFonts w:ascii="Calibri" w:cs="Calibri" w:eastAsia="Calibri" w:hAnsi="Calibri"/>
          <w:sz w:val="21"/>
          <w:szCs w:val="21"/>
        </w:rPr>
        <w:t xml:space="preserve">Client designates Jennifer N. Brantley and J Brantley Law, PLLC as Client’s duly authorized agent for the limited purpose of certifying and submitting the application described in Section 1 to the United States Copyright Office, consistent with 37 C.F.R. § 202.3(c). This authorization is limited to the application elected under Section 1 and does not extend to any other matter.</w:t>
      </w:r>
    </w:p>
    <w:p>
      <w:pPr>
        <w:spacing w:after="100" w:before="200"/>
      </w:pPr>
      <w:r>
        <w:rPr>
          <w:rFonts w:ascii="Calibri" w:cs="Calibri" w:eastAsia="Calibri" w:hAnsi="Calibri"/>
          <w:b/>
          <w:bCs/>
          <w:color w:val="1F3050"/>
          <w:sz w:val="22"/>
          <w:szCs w:val="22"/>
        </w:rPr>
        <w:t xml:space="preserve">Section 11. Confidentiality</w:t>
      </w:r>
    </w:p>
    <w:p>
      <w:pPr>
        <w:spacing w:after="140" w:line="276"/>
      </w:pPr>
      <w:r>
        <w:rPr>
          <w:rFonts w:ascii="Calibri" w:cs="Calibri" w:eastAsia="Calibri" w:hAnsi="Calibri"/>
          <w:sz w:val="21"/>
          <w:szCs w:val="21"/>
        </w:rPr>
        <w:t xml:space="preserve">Attorney will maintain the confidentiality of information disclosed by Client in the course of this engagement, consistent with the Texas Disciplinary Rules of Professional Conduct, except as required by law or as necessary to carry out the representation, including disclosures to the United States Copyright Office in connection with the application described in Section 1.</w:t>
      </w:r>
    </w:p>
    <w:p>
      <w:pPr>
        <w:spacing w:after="100" w:before="200"/>
      </w:pPr>
      <w:r>
        <w:rPr>
          <w:rFonts w:ascii="Calibri" w:cs="Calibri" w:eastAsia="Calibri" w:hAnsi="Calibri"/>
          <w:b/>
          <w:bCs/>
          <w:color w:val="1F3050"/>
          <w:sz w:val="22"/>
          <w:szCs w:val="22"/>
        </w:rPr>
        <w:t xml:space="preserve">Section 12. No Guarantee of Outcome</w:t>
      </w:r>
    </w:p>
    <w:p>
      <w:pPr>
        <w:spacing w:after="140" w:line="276"/>
      </w:pPr>
      <w:r>
        <w:rPr>
          <w:rFonts w:ascii="Calibri" w:cs="Calibri" w:eastAsia="Calibri" w:hAnsi="Calibri"/>
          <w:sz w:val="21"/>
          <w:szCs w:val="21"/>
        </w:rPr>
        <w:t xml:space="preserve">Attorney will represent Client with diligence and professional competence. However, Attorney cannot guarantee that Client’s copyright application will be approved or that the Work will be successfully registered. The Copyright Office may issue a request for additional information, require correction of the application, or refuse registration on substantive grounds, including insufficient original authorship. Attorney will advise Client of any such developments and will respond on Client’s behalf to the extent included in the elected service.</w:t>
      </w:r>
    </w:p>
    <w:p>
      <w:pPr>
        <w:spacing w:after="140" w:line="276"/>
      </w:pPr>
      <w:r>
        <w:rPr>
          <w:rFonts w:ascii="Calibri" w:cs="Calibri" w:eastAsia="Calibri" w:hAnsi="Calibri"/>
          <w:sz w:val="21"/>
          <w:szCs w:val="21"/>
        </w:rPr>
        <w:t xml:space="preserve">Nothing in this Agreement or in Attorney’s statements to Client should be construed as a promise or guarantee regarding registration or the outcome of this matter. Any estimate of fees, costs, or timelines given by Attorney or non-attorney staff is not a guarantee. Current Copyright Office processing times for online applications commonly range from several months to longer, depending on the type of claim and any correspondence required, and are outside Attorney’s control.</w:t>
      </w:r>
    </w:p>
    <w:p>
      <w:pPr>
        <w:spacing w:after="100" w:before="200"/>
      </w:pPr>
      <w:r>
        <w:rPr>
          <w:rFonts w:ascii="Calibri" w:cs="Calibri" w:eastAsia="Calibri" w:hAnsi="Calibri"/>
          <w:b/>
          <w:bCs/>
          <w:color w:val="1F3050"/>
          <w:sz w:val="22"/>
          <w:szCs w:val="22"/>
        </w:rPr>
        <w:t xml:space="preserve">Section 13. Unpaid Fees and Liens</w:t>
      </w:r>
    </w:p>
    <w:p>
      <w:pPr>
        <w:spacing w:after="140" w:line="276"/>
      </w:pPr>
      <w:r>
        <w:rPr>
          <w:rFonts w:ascii="Calibri" w:cs="Calibri" w:eastAsia="Calibri" w:hAnsi="Calibri"/>
          <w:sz w:val="21"/>
          <w:szCs w:val="21"/>
        </w:rPr>
        <w:t xml:space="preserve">The Firm reserves the right to terminate this Agreement for non-payment of fees or expenses. Any unpaid sums billed to Client become a lien upon the property of Client. If collection efforts are required to collect unpaid fees, Client understands that additional attorneys’ fees may be assessed against Client for the necessity of undertaking those efforts, and Client agrees to be responsible for all attorneys’ fees, whether incurred by the Firm or another attorney, and court costs required to prosecute such collection efforts.</w:t>
      </w:r>
    </w:p>
    <w:p>
      <w:pPr>
        <w:spacing w:after="100" w:before="200"/>
      </w:pPr>
      <w:r>
        <w:rPr>
          <w:rFonts w:ascii="Calibri" w:cs="Calibri" w:eastAsia="Calibri" w:hAnsi="Calibri"/>
          <w:b/>
          <w:bCs/>
          <w:color w:val="1F3050"/>
          <w:sz w:val="22"/>
          <w:szCs w:val="22"/>
        </w:rPr>
        <w:t xml:space="preserve">Section 14. Discharge and Withdrawal</w:t>
      </w:r>
    </w:p>
    <w:p>
      <w:pPr>
        <w:spacing w:after="140" w:line="276"/>
      </w:pPr>
      <w:r>
        <w:rPr>
          <w:rFonts w:ascii="Calibri" w:cs="Calibri" w:eastAsia="Calibri" w:hAnsi="Calibri"/>
          <w:sz w:val="21"/>
          <w:szCs w:val="21"/>
        </w:rPr>
        <w:t xml:space="preserve">Client may discharge Attorney at any time. Attorney may withdraw with Client’s consent or for good cause, including Client’s breach of this Agreement, refusal to cooperate or follow the Firm’s advice on a material matter, or any fact or circumstance that would render the Firm’s continued representation unlawful or unethical. In such a situation, the Firm will take appropriate action to withdraw from representation, and Client remains responsible for all fees incurred for representation provided until that time. At the conclusion of the Firm’s representation, all unpaid fees become due and payable. Additionally, the Firm will, upon Client’s written request, deliver Client’s file and property in the Firm’s possession, whether or not Client has paid for all services rendered.</w:t>
      </w:r>
    </w:p>
    <w:p>
      <w:pPr>
        <w:spacing w:after="100" w:before="200"/>
      </w:pPr>
      <w:r>
        <w:rPr>
          <w:rFonts w:ascii="Calibri" w:cs="Calibri" w:eastAsia="Calibri" w:hAnsi="Calibri"/>
          <w:b/>
          <w:bCs/>
          <w:color w:val="1F3050"/>
          <w:sz w:val="22"/>
          <w:szCs w:val="22"/>
        </w:rPr>
        <w:t xml:space="preserve">Section 15. Malpractice Insurance Disclosure</w:t>
      </w:r>
    </w:p>
    <w:p>
      <w:pPr>
        <w:spacing w:after="140" w:line="276"/>
      </w:pPr>
      <w:r>
        <w:rPr>
          <w:rFonts w:ascii="Calibri" w:cs="Calibri" w:eastAsia="Calibri" w:hAnsi="Calibri"/>
          <w:sz w:val="21"/>
          <w:szCs w:val="21"/>
        </w:rPr>
        <w:t xml:space="preserve">Pursuant to Texas law, Attorney discloses that Attorney currently maintains professional liability insurance.</w:t>
      </w:r>
    </w:p>
    <w:p>
      <w:pPr>
        <w:spacing w:after="100" w:before="200"/>
      </w:pPr>
      <w:r>
        <w:rPr>
          <w:rFonts w:ascii="Calibri" w:cs="Calibri" w:eastAsia="Calibri" w:hAnsi="Calibri"/>
          <w:b/>
          <w:bCs/>
          <w:color w:val="1F3050"/>
          <w:sz w:val="22"/>
          <w:szCs w:val="22"/>
        </w:rPr>
        <w:t xml:space="preserve">Section 16. Dispute Resolution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17. General Provisions</w:t>
      </w:r>
    </w:p>
    <w:p>
      <w:pPr>
        <w:spacing w:after="140" w:line="276"/>
      </w:pPr>
      <w:r>
        <w:rPr>
          <w:rFonts w:ascii="Calibri" w:cs="Calibri" w:eastAsia="Calibri" w:hAnsi="Calibri"/>
          <w:sz w:val="21"/>
          <w:szCs w:val="21"/>
        </w:rPr>
        <w:t xml:space="preserve">(A) Entire Agreement</w:t>
      </w:r>
    </w:p>
    <w:p>
      <w:pPr>
        <w:spacing w:after="140" w:line="276"/>
      </w:pPr>
      <w:r>
        <w:rPr>
          <w:rFonts w:ascii="Calibri" w:cs="Calibri" w:eastAsia="Calibri" w:hAnsi="Calibri"/>
          <w:sz w:val="21"/>
          <w:szCs w:val="21"/>
        </w:rPr>
        <w:t xml:space="preserve">This Agreement contains the entire agreement of the parties. No other agreement, statement, or promise made on or before the effective date of this Agreement is binding on the parties.</w:t>
      </w:r>
    </w:p>
    <w:p>
      <w:pPr>
        <w:spacing w:after="140" w:line="276"/>
      </w:pPr>
      <w:r>
        <w:rPr>
          <w:rFonts w:ascii="Calibri" w:cs="Calibri" w:eastAsia="Calibri" w:hAnsi="Calibri"/>
          <w:sz w:val="21"/>
          <w:szCs w:val="21"/>
        </w:rPr>
        <w:t xml:space="preserve">(B) Severability</w:t>
      </w:r>
    </w:p>
    <w:p>
      <w:pPr>
        <w:spacing w:after="140" w:line="276"/>
      </w:pPr>
      <w:r>
        <w:rPr>
          <w:rFonts w:ascii="Calibri" w:cs="Calibri" w:eastAsia="Calibri" w:hAnsi="Calibri"/>
          <w:sz w:val="21"/>
          <w:szCs w:val="21"/>
        </w:rPr>
        <w:t xml:space="preserve">If any provision of this Agreement is held unenforceable in whole or in part, the remainder of that provision and of the entire Agreement remains severable and in effect.</w:t>
      </w:r>
    </w:p>
    <w:p>
      <w:pPr>
        <w:spacing w:after="140" w:line="276"/>
      </w:pPr>
      <w:r>
        <w:rPr>
          <w:rFonts w:ascii="Calibri" w:cs="Calibri" w:eastAsia="Calibri" w:hAnsi="Calibri"/>
          <w:sz w:val="21"/>
          <w:szCs w:val="21"/>
        </w:rPr>
        <w:t xml:space="preserve">(C) Modification</w:t>
      </w:r>
    </w:p>
    <w:p>
      <w:pPr>
        <w:spacing w:after="140" w:line="276"/>
      </w:pPr>
      <w:r>
        <w:rPr>
          <w:rFonts w:ascii="Calibri" w:cs="Calibri" w:eastAsia="Calibri" w:hAnsi="Calibri"/>
          <w:sz w:val="21"/>
          <w:szCs w:val="21"/>
        </w:rPr>
        <w:t xml:space="preserve">This Agreement may be modified only by a subsequent written instrument signed by Client and Attorney.</w:t>
      </w:r>
    </w:p>
    <w:p>
      <w:pPr>
        <w:spacing w:after="140" w:line="276"/>
      </w:pPr>
      <w:r>
        <w:rPr>
          <w:rFonts w:ascii="Calibri" w:cs="Calibri" w:eastAsia="Calibri" w:hAnsi="Calibri"/>
          <w:sz w:val="21"/>
          <w:szCs w:val="21"/>
        </w:rPr>
        <w:t xml:space="preserve">(D) Time Is of the Essence</w:t>
      </w:r>
    </w:p>
    <w:p>
      <w:pPr>
        <w:spacing w:after="140" w:line="276"/>
      </w:pPr>
      <w:r>
        <w:rPr>
          <w:rFonts w:ascii="Calibri" w:cs="Calibri" w:eastAsia="Calibri" w:hAnsi="Calibri"/>
          <w:sz w:val="21"/>
          <w:szCs w:val="21"/>
        </w:rPr>
        <w:t xml:space="preserve">Time is expressly of the essence with respect to every provision of this Agreement and the submission of documents, including scheduling required meetings and submitting intake materials. Client caused delay in the progression of the file may result in a $500.00 administration fee at the Firm’s discretion, and additional expenses may be incurred for continued delays.</w:t>
      </w:r>
    </w:p>
    <w:p>
      <w:pPr>
        <w:spacing w:after="140" w:line="276"/>
      </w:pPr>
      <w:r>
        <w:rPr>
          <w:rFonts w:ascii="Calibri" w:cs="Calibri" w:eastAsia="Calibri" w:hAnsi="Calibri"/>
          <w:sz w:val="21"/>
          <w:szCs w:val="21"/>
        </w:rPr>
        <w:t xml:space="preserve">(E) Counterparts</w:t>
      </w:r>
    </w:p>
    <w:p>
      <w:pPr>
        <w:spacing w:after="140" w:line="276"/>
      </w:pPr>
      <w:r>
        <w:rPr>
          <w:rFonts w:ascii="Calibri" w:cs="Calibri" w:eastAsia="Calibri" w:hAnsi="Calibri"/>
          <w:sz w:val="21"/>
          <w:szCs w:val="21"/>
        </w:rPr>
        <w:t xml:space="preserve">This Agreement may be executed in counterparts, each deemed an original, all of which together are deemed one and the same agreement. A signed copy delivered by facsimile, email, or other electronic transmission has the same legal effect as delivery of an original signed copy.</w:t>
      </w:r>
    </w:p>
    <w:p>
      <w:pPr>
        <w:spacing w:after="140" w:line="276"/>
      </w:pPr>
      <w:r>
        <w:rPr>
          <w:rFonts w:ascii="Calibri" w:cs="Calibri" w:eastAsia="Calibri" w:hAnsi="Calibri"/>
          <w:sz w:val="21"/>
          <w:szCs w:val="21"/>
        </w:rPr>
        <w:t xml:space="preserve">(F) Effective Date</w:t>
      </w:r>
    </w:p>
    <w:p>
      <w:pPr>
        <w:spacing w:after="140" w:line="276"/>
      </w:pPr>
      <w:r>
        <w:rPr>
          <w:rFonts w:ascii="Calibri" w:cs="Calibri" w:eastAsia="Calibri" w:hAnsi="Calibri"/>
          <w:sz w:val="21"/>
          <w:szCs w:val="21"/>
        </w:rPr>
        <w:t xml:space="preserve">This Agreement governs all legal services performed by Attorney on behalf of Client commencing with the date Attorney first performed services. Even if this Agreement does not take effect or is found void, Client is obligated to pay Attorney the reasonable value of any work Attorney performed for Client.</w:t>
      </w:r>
    </w:p>
    <w:p>
      <w:pPr>
        <w:spacing w:after="140" w:line="276"/>
      </w:pPr>
      <w:r>
        <w:rPr>
          <w:rFonts w:ascii="Calibri" w:cs="Calibri" w:eastAsia="Calibri" w:hAnsi="Calibri"/>
          <w:sz w:val="21"/>
          <w:szCs w:val="21"/>
        </w:rPr>
        <w:t xml:space="preserve">(G) Governing Law</w:t>
      </w:r>
    </w:p>
    <w:p>
      <w:pPr>
        <w:spacing w:after="140" w:line="276"/>
      </w:pPr>
      <w:r>
        <w:rPr>
          <w:rFonts w:ascii="Calibri" w:cs="Calibri" w:eastAsia="Calibri" w:hAnsi="Calibri"/>
          <w:sz w:val="21"/>
          <w:szCs w:val="21"/>
        </w:rPr>
        <w:t xml:space="preserve">This Agreement is governed by the laws of the State of Texas and, with respect to copyright matters, applicable federal law and the regulations of the United States Copyright Office.</w:t>
      </w:r>
    </w:p>
    <w:p>
      <w:pPr>
        <w:spacing w:after="140" w:line="276"/>
      </w:pPr>
      <w:r>
        <w:rPr>
          <w:rFonts w:ascii="Calibri" w:cs="Calibri" w:eastAsia="Calibri" w:hAnsi="Calibri"/>
          <w:sz w:val="21"/>
          <w:szCs w:val="21"/>
        </w:rPr>
        <w:t xml:space="preserve">By signing below, Client acknowledges having read this Agreement in full, having had the opportunity to seek independent counsel review prior to signing, and agreeing to its terms. If Client is signing on behalf of an entity, the person signing represents and warrants that he or she is fully authorized to execute this Agreement on behalf of that entity, and that by signing this Agreement such entity shall be bound by the terms contained herein.</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2026-09-13T19:54:00.842Z</dcterms:created>
  <dcterms:modified xsi:type="dcterms:W3CDTF">2026-09-13T19:54:00.843Z</dcterms:modified>
</cp:coreProperties>
</file>

<file path=docProps/custom.xml><?xml version="1.0" encoding="utf-8"?>
<Properties xmlns="http://schemas.openxmlformats.org/officeDocument/2006/custom-properties" xmlns:vt="http://schemas.openxmlformats.org/officeDocument/2006/docPropsVTypes"/>
</file>