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Full Shield</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(or a single, alternate mark should the chosen mark be unavailable).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5: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Full Shield tier of trademark services for the Proposed Mark, described below.</w:t>
      </w:r>
    </w:p>
    <w:p>
      <w:pPr>
        <w:spacing w:after="140" w:line="276"/>
      </w:pPr>
      <w:r>
        <w:rPr>
          <w:rFonts w:ascii="Calibri" w:cs="Calibri" w:eastAsia="Calibri" w:hAnsi="Calibri"/>
          <w:sz w:val="21"/>
          <w:szCs w:val="21"/>
        </w:rPr>
        <w:t xml:space="preserve">Full Shield: Includes all File and Protect services above, response to two non-substantive USPTO Office Actions if issued, and 60 days post-registration monitoring for conflicting applications. The USPTO filing fee of $350.00 per class is a separate government cost paid directly to the USPTO and is not included in the Attorney fee. Attorney fee: $2,200.00 + USPTO filing fee (separate government cost).</w:t>
      </w:r>
    </w:p>
    <w:p>
      <w:pPr>
        <w:spacing w:after="140" w:line="276"/>
      </w:pPr>
      <w:r>
        <w:rPr>
          <w:rFonts w:ascii="Calibri" w:cs="Calibri" w:eastAsia="Calibri" w:hAnsi="Calibri"/>
          <w:sz w:val="21"/>
          <w:szCs w:val="21"/>
        </w:rPr>
        <w:t xml:space="preserve">Note on Additional Classes: The fees in this engagement cover the application in one (1) class. If Client wishes to add classes to any application, additional search, clearance analysis, and filing fees will apply. Additional classes will be billed at $200 per class in attorney fees, plus the applicable USPTO filing fee per class, per application. Any request to add classes must be approved in writing by Attorney prior to work commencing.</w:t>
      </w:r>
    </w:p>
    <w:p>
      <w:pPr>
        <w:spacing w:after="140" w:line="276"/>
      </w:pPr>
      <w:r>
        <w:rPr>
          <w:rFonts w:ascii="Calibri" w:cs="Calibri" w:eastAsia="Calibri" w:hAnsi="Calibri"/>
          <w:sz w:val="21"/>
          <w:szCs w:val="21"/>
        </w:rPr>
        <w:t xml:space="preserve">2B. Optional Add-On Services: Client may elect the following add-on service.</w:t>
      </w:r>
    </w:p>
    <w:p>
      <w:pPr>
        <w:spacing w:after="140" w:line="276"/>
      </w:pPr>
      <w:r>
        <w:rPr>
          <w:rFonts w:ascii="Calibri" w:cs="Calibri" w:eastAsia="Calibri" w:hAnsi="Calibri"/>
          <w:sz w:val="21"/>
          <w:szCs w:val="21"/>
        </w:rPr>
        <w:t xml:space="preserve">Trademark Cease and Desist Letter: $300.00 per letter. This includes consultation with Attorney (not to exceed fifteen (15) minutes or equivalent email correspondence) regarding the trademark use at issue, drafting of one cease and desist letter on Client’s behalf, and delivery to Client for Client’s approval prior to sending. Client is responsible for all costs associated with delivery of the letter (postage, courier, etc.). This service is limited to trademark-related cease and desist matters only. If the offending party responds or negotiation is required, Attorney shall notify Client that additional work is outside this scope. Client may elect to proceed with follow-up representation at Attorney’s hourly rate of $250/hour, billed in quarter-hour (.25) increments, subject to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Trademark Cease and Desist Letter add-on ($300.00 per letter).</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For the Search and File, File and Protect and Full Shield tiers, Client may also elect to pay the total elected fee above (exclusive of USPTO filing fees) in either three (3) or five (5) equal (or approximately equal) installment payments, as set forth below.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Payments debited at 14-day intervals beginning on the date of signing, in the amount of one-third (1/3) of the total elected fee per installment.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Payments debited at 14-day intervals beginning on the date of signing, in the amount of one-fifth (1/5) of the total elected fee per installment.</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tiers are due within seven (7) days of the invoice date.</w:t>
      </w:r>
    </w:p>
    <w:p>
      <w:pPr>
        <w:spacing w:after="140" w:line="276"/>
      </w:pPr>
      <w:r>
        <w:rPr>
          <w:rFonts w:ascii="Calibri" w:cs="Calibri" w:eastAsia="Calibri" w:hAnsi="Calibri"/>
          <w:sz w:val="21"/>
          <w:szCs w:val="21"/>
        </w:rPr>
        <w:t xml:space="preserve">Client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$300.00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and Application Preparation): The remaining $1,900.00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$1,900.00 for work performed in preparing the application.</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Amendments to Filed Application: One (1) amendment to the filed application is included in the elected fee. Amendments include responses to Office Actions requiring minor changes such as disclaimers, amendments to the description of goods or services, or non-substantive updates requested by the USPTO. Additional amendments beyond the first are billed at Attorney’s hourly rate of $250/hour in quarter-hour increments. Amendments that require substantial reworking of the application or responses to final or complex Office Actions are billed separately and require a separate written fee agreement.</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Power of Attorney: 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6. Deliverables and Acceptance</w:t>
      </w:r>
    </w:p>
    <w:p>
      <w:pPr>
        <w:spacing w:after="140" w:line="276"/>
      </w:pPr>
      <w:r>
        <w:rPr>
          <w:rFonts w:ascii="Calibri" w:cs="Calibri" w:eastAsia="Calibri" w:hAnsi="Calibri"/>
          <w:sz w:val="21"/>
          <w:szCs w:val="21"/>
        </w:rPr>
        <w:t xml:space="preserve">Attorney will communicate the anticipated completion timeline for each elected deliverable directly with Client during representation. Client has five (5) business days from the date of delivery of any deliverable to review and object in writing to its contents. The five-business-day clock runs from the delivery date. Absent a timely written objection, the deliverable is deemed accepted.</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w:t>
      </w:r>
    </w:p>
    <w:p>
      <w:pPr>
        <w:spacing w:after="140" w:line="276"/>
      </w:pPr>
      <w:r>
        <w:rPr>
          <w:rFonts w:ascii="Calibri" w:cs="Calibri" w:eastAsia="Calibri" w:hAnsi="Calibri"/>
          <w:sz w:val="21"/>
          <w:szCs w:val="21"/>
        </w:rPr>
        <w:t xml:space="preserve">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 and affects the process described below. If Client has not sold goods and/or provided services as of the date of Client’s intake call, Client must proceed with filing a multi-step ("intent to use") trademark application. Client understands that after filing Client’s initial trademark application the next step in this multi-stage process is to submit evidence (i.e., proof) that Client is either selling products and/or providing services in connection with Client’s trademark. Client understands that Client must submit evidence and pay the invoice in a timely manner so that Attorney can review and approve the evidence. Client understands that Client must pay $650.00 USD to submit the evidence to the USPTO for one class only (plus an additional $150.00 for 2 or more classes). If Client cannot show proof by the invoice deadline, Client understands that Client must file an Extension Request and pay a fee to do so ($650.00 USD for one class plus an additional $125.00 for 2 or more classes) to keep Client’s trademark application alive and active.</w:t>
      </w:r>
    </w:p>
    <w:p>
      <w:p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spacing w:after="140" w:line="276"/>
      </w:pPr>
      <w:r>
        <w:rPr>
          <w:rFonts w:ascii="Calibri" w:cs="Calibri" w:eastAsia="Calibri" w:hAnsi="Calibri"/>
          <w:sz w:val="21"/>
          <w:szCs w:val="21"/>
        </w:rPr>
        <w:t xml:space="preserve">Registration or Notice of Allowance: If no opposition is filed, a use-in-commerce application proceeds to registration. An intent-to-use application instead receives a Notice of Allowance, after which Client must submit evidence of use (a Statement of Use) or file an Extension Request before registration issues. USPTO fees and any additional Attorney fees associated with the Statement of Use or Extension Request stage are billed separately as those stages occur and are not included in the fees elected under Section 2.</w:t>
      </w:r>
    </w:p>
    <w:p>
      <w:pPr>
        <w:spacing w:after="140" w:line="276"/>
      </w:pPr>
      <w:r>
        <w:rPr>
          <w:rFonts w:ascii="Calibri" w:cs="Calibri" w:eastAsia="Calibri" w:hAnsi="Calibri"/>
          <w:sz w:val="21"/>
          <w:szCs w:val="21"/>
        </w:rPr>
        <w:t xml:space="preserve">Maintenance: Following registration, periodic maintenance filings are required to keep the registration active. Maintenance filings are not included in this engagement unless separately elected in writing.</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 This reflects a straightforward application that does not receive an Office Action, opposition, or request for additional evidence. Any of those events will extend the timeline beyond the figures below. Attorney makes no guarantee of registration or of any timeframe.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2026-09-13T19:54:00.936Z</dcterms:created>
  <dcterms:modified xsi:type="dcterms:W3CDTF">2026-09-13T19:54:00.936Z</dcterms:modified>
</cp:coreProperties>
</file>

<file path=docProps/custom.xml><?xml version="1.0" encoding="utf-8"?>
<Properties xmlns="http://schemas.openxmlformats.org/officeDocument/2006/custom-properties" xmlns:vt="http://schemas.openxmlformats.org/officeDocument/2006/docPropsVTypes"/>
</file>