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Search and Clear</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conduct a USPTO and common law clearance search for one mark, prepare a written clearance opinion assessing registrability and conflict risk, and provide a 15-minute strategy call to discuss the findings. This engagement does not include preparation or filing of a trademark application. If Client elects to proceed with filing after reviewing the clearance opinion, that work requires a separate engagement agreement at the File and Protect or Full Shield tier.</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r>
      <w:r>
        <w:rPr>
          <w:rFonts w:ascii="Calibri" w:cs="Calibri" w:eastAsia="Calibri" w:hAnsi="Calibri"/>
          <w:b w:val="false"/>
          <w:bCs w:val="false"/>
          <w:sz w:val="21"/>
          <w:szCs w:val="21"/>
        </w:rPr>
        <w:t xml:space="preserve">Mark type elected: {{answers.mark_type}}.</w:t>
      </w:r>
    </w:p>
    <w:p>
      <w:pPr>
        <w:spacing w:after="140" w:line="276"/>
      </w:pPr>
      <w:r>
        <w:rPr>
          <w:rFonts w:ascii="Calibri" w:cs="Calibri" w:eastAsia="Calibri" w:hAnsi="Calibri"/>
          <w:sz w:val="21"/>
          <w:szCs w:val="21"/>
        </w:rPr>
        <w:t xml:space="preserve">Mark: {{answers.mark_name}}     Number of classes to be filed: {{answers.number_of_classes}}</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Search and Clear tier is $350,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Advance fees are deposited into Attorney's IOLTA trust account and are not earned by Attorney until the written clearance opinion is delivered to Client,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applicable deliverable is complete,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any response to a USPTO office action,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40" w:line="276"/>
      </w:pPr>
      <w:r>
        <w:rPr>
          <w:rFonts w:ascii="Calibri" w:cs="Calibri" w:eastAsia="Calibri" w:hAnsi="Calibri"/>
          <w:i/>
          <w:iCs/>
          <w:color w:val="555555"/>
          <w:sz w:val="19"/>
          <w:szCs w:val="19"/>
        </w:rPr>
        <w:t xml:space="preserve">This engagement does not include filing. The timeline above is provided for informational purposes, describing what would follow if Client later elects to proceed with a filing engagement (File and Protect or Full Shield) based on the results of the clearance search.</w:t>
      </w:r>
    </w:p>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2026-08-02T16:57:56.463Z</dcterms:created>
  <dcterms:modified xsi:type="dcterms:W3CDTF">2026-08-02T16:57:56.463Z</dcterms:modified>
</cp:coreProperties>
</file>

<file path=docProps/custom.xml><?xml version="1.0" encoding="utf-8"?>
<Properties xmlns="http://schemas.openxmlformats.org/officeDocument/2006/custom-properties" xmlns:vt="http://schemas.openxmlformats.org/officeDocument/2006/docPropsVTypes"/>
</file>