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File and Protect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conduct a USPTO and common law clearance search for one mark, prepare a written clearance opinion assessing registrability and conflict risk, and prepare and file a trademark application for that mark, together with a 30-minute legal strategy call. This engagement covers one mark only. It does not include response to any USPTO office action; office action response is available as a separately elected service.</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r>
      <w:r>
        <w:rPr>
          <w:rFonts w:ascii="Calibri" w:cs="Calibri" w:eastAsia="Calibri" w:hAnsi="Calibri"/>
          <w:b w:val="false"/>
          <w:bCs w:val="false"/>
          <w:sz w:val="21"/>
          <w:szCs w:val="21"/>
        </w:rPr>
        <w:t xml:space="preserve">Mark type elected: {{answers.mark_type}}.</w:t>
      </w:r>
    </w:p>
    <w:p>
      <w:pPr>
        <w:spacing w:after="140" w:line="276"/>
      </w:pPr>
      <w:r>
        <w:rPr>
          <w:rFonts w:ascii="Calibri" w:cs="Calibri" w:eastAsia="Calibri" w:hAnsi="Calibri"/>
          <w:sz w:val="21"/>
          <w:szCs w:val="21"/>
        </w:rPr>
        <w:t xml:space="preserve">Mark: {{answers.mark_name}}     Number of classes to be filed: {{answers.number_of_classes}}</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File and Protect tier is $1,200 + USPTO fees,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Advance fees are deposited into Attorney's IOLTA trust account and are not earned by Attorney until the trademark application is filed with the USPTO,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applicable deliverable is complete,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any response to a USPTO office action,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2026-08-02T17:03:53.847Z</dcterms:created>
  <dcterms:modified xsi:type="dcterms:W3CDTF">2026-08-02T17:03:53.847Z</dcterms:modified>
</cp:coreProperties>
</file>

<file path=docProps/custom.xml><?xml version="1.0" encoding="utf-8"?>
<Properties xmlns="http://schemas.openxmlformats.org/officeDocument/2006/custom-properties" xmlns:vt="http://schemas.openxmlformats.org/officeDocument/2006/docPropsVTypes"/>
</file>