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Georgia" w:cs="Georgia" w:eastAsia="Georgia" w:hAnsi="Georgia"/>
          <w:b/>
          <w:bCs/>
          <w:color w:val="1F3050"/>
          <w:sz w:val="30"/>
          <w:szCs w:val="30"/>
        </w:rPr>
        <w:t xml:space="preserve">J Brantley Law, PLLC</w:t>
      </w:r>
    </w:p>
    <w:p>
      <w:pPr>
        <w:spacing w:after="200"/>
        <w:jc w:val="center"/>
      </w:pPr>
      <w:r>
        <w:rPr>
          <w:rFonts w:ascii="Calibri" w:cs="Calibri" w:eastAsia="Calibri" w:hAnsi="Calibri"/>
          <w:color w:val="555555"/>
          <w:sz w:val="16"/>
          <w:szCs w:val="16"/>
        </w:rPr>
        <w:t xml:space="preserve">5900 Balcones Dr., #9008, Austin, TX 78731   |   (210) 742-2435   |   jbrantley@jenniferbrantleylaw.com</w:t>
      </w:r>
    </w:p>
    <w:p>
      <w:pPr>
        <w:pBdr>
          <w:bottom w:val="single" w:color="C9A227" w:sz="6"/>
        </w:pBdr>
        <w:spacing w:after="200" w:before="60"/>
      </w:pPr>
    </w:p>
    <w:p>
      <w:pPr>
        <w:pStyle w:val="Heading1"/>
        <w:spacing w:after="120" w:before="280"/>
      </w:pPr>
      <w:r>
        <w:rPr>
          <w:rFonts w:ascii="Georgia" w:cs="Georgia" w:eastAsia="Georgia" w:hAnsi="Georgia"/>
          <w:b/>
          <w:bCs/>
          <w:color w:val="1F3050"/>
          <w:sz w:val="24"/>
          <w:szCs w:val="24"/>
        </w:rPr>
        <w:t xml:space="preserve">Trademark Engagement Agreement — Full Shield</w:t>
      </w:r>
    </w:p>
    <w:p>
      <w:pPr>
        <w:spacing w:after="140" w:line="276"/>
      </w:pPr>
      <w:r>
        <w:rPr>
          <w:rFonts w:ascii="Calibri" w:cs="Calibri" w:eastAsia="Calibri" w:hAnsi="Calibri"/>
          <w:sz w:val="21"/>
          <w:szCs w:val="21"/>
        </w:rPr>
        <w:t xml:space="preserve">This Engagement Agreement ("Agreement") is entered into by and between J Brantley Law, PLLC ("Attorney" or "Firm"), and the undersigned individual or entity ("Client"), collectively the "Parties."</w:t>
      </w:r>
    </w:p>
    <w:p>
      <w:pPr>
        <w:spacing w:after="100" w:before="200"/>
      </w:pPr>
      <w:r>
        <w:rPr>
          <w:rFonts w:ascii="Calibri" w:cs="Calibri" w:eastAsia="Calibri" w:hAnsi="Calibri"/>
          <w:b/>
          <w:bCs/>
          <w:color w:val="1F3050"/>
          <w:sz w:val="22"/>
          <w:szCs w:val="22"/>
        </w:rPr>
        <w:t xml:space="preserve">Section 1. Scope of Engagement</w:t>
      </w:r>
    </w:p>
    <w:p>
      <w:pPr>
        <w:spacing w:after="140" w:line="276"/>
      </w:pPr>
      <w:r>
        <w:rPr>
          <w:rFonts w:ascii="Calibri" w:cs="Calibri" w:eastAsia="Calibri" w:hAnsi="Calibri"/>
          <w:sz w:val="21"/>
          <w:szCs w:val="21"/>
        </w:rPr>
        <w:t xml:space="preserve">Attorney will provide the following services for one mark:</w:t>
      </w:r>
    </w:p>
    <w:p>
      <w:pPr>
        <w:spacing w:after="60" w:before="140"/>
      </w:pPr>
      <w:r>
        <w:rPr>
          <w:rFonts w:ascii="Calibri" w:cs="Calibri" w:eastAsia="Calibri" w:hAnsi="Calibri"/>
          <w:b/>
          <w:bCs/>
          <w:color w:val="1F3050"/>
          <w:sz w:val="20"/>
          <w:szCs w:val="20"/>
        </w:rPr>
        <w:t xml:space="preserve">Strategy and Search Phase</w:t>
      </w:r>
    </w:p>
    <w:p>
      <w:pPr>
        <w:pStyle w:val="ListParagraph"/>
        <w:numPr>
          <w:ilvl w:val="0"/>
          <w:numId w:val="1"/>
        </w:numPr>
        <w:spacing w:after="60"/>
      </w:pPr>
      <w:r>
        <w:rPr>
          <w:rFonts w:ascii="Calibri" w:cs="Calibri" w:eastAsia="Calibri" w:hAnsi="Calibri"/>
          <w:sz w:val="21"/>
          <w:szCs w:val="21"/>
        </w:rPr>
        <w:t xml:space="preserve">A one-hour legal strategy call to audit Client's brand assets and build a personalized brand protection strategy</w:t>
      </w:r>
    </w:p>
    <w:p>
      <w:pPr>
        <w:pStyle w:val="ListParagraph"/>
        <w:numPr>
          <w:ilvl w:val="0"/>
          <w:numId w:val="1"/>
        </w:numPr>
        <w:spacing w:after="60"/>
      </w:pPr>
      <w:r>
        <w:rPr>
          <w:rFonts w:ascii="Calibri" w:cs="Calibri" w:eastAsia="Calibri" w:hAnsi="Calibri"/>
          <w:sz w:val="21"/>
          <w:szCs w:val="21"/>
        </w:rPr>
        <w:t xml:space="preserve">A comprehensive trademark search with a full research report</w:t>
      </w:r>
    </w:p>
    <w:p>
      <w:pPr>
        <w:pStyle w:val="ListParagraph"/>
        <w:numPr>
          <w:ilvl w:val="0"/>
          <w:numId w:val="1"/>
        </w:numPr>
        <w:spacing w:after="60"/>
      </w:pPr>
      <w:r>
        <w:rPr>
          <w:rFonts w:ascii="Calibri" w:cs="Calibri" w:eastAsia="Calibri" w:hAnsi="Calibri"/>
          <w:sz w:val="21"/>
          <w:szCs w:val="21"/>
        </w:rPr>
        <w:t xml:space="preserve">Up to 2 additional searches if needed</w:t>
      </w:r>
    </w:p>
    <w:p>
      <w:pPr>
        <w:pStyle w:val="ListParagraph"/>
        <w:numPr>
          <w:ilvl w:val="0"/>
          <w:numId w:val="1"/>
        </w:numPr>
        <w:spacing w:after="60"/>
      </w:pPr>
      <w:r>
        <w:rPr>
          <w:rFonts w:ascii="Calibri" w:cs="Calibri" w:eastAsia="Calibri" w:hAnsi="Calibri"/>
          <w:sz w:val="21"/>
          <w:szCs w:val="21"/>
        </w:rPr>
        <w:t xml:space="preserve">An Official Opinion Letter analyzing risks and opportunities</w:t>
      </w:r>
    </w:p>
    <w:p>
      <w:pPr>
        <w:pStyle w:val="ListParagraph"/>
        <w:numPr>
          <w:ilvl w:val="0"/>
          <w:numId w:val="1"/>
        </w:numPr>
        <w:spacing w:after="60"/>
      </w:pPr>
      <w:r>
        <w:rPr>
          <w:rFonts w:ascii="Calibri" w:cs="Calibri" w:eastAsia="Calibri" w:hAnsi="Calibri"/>
          <w:sz w:val="21"/>
          <w:szCs w:val="21"/>
        </w:rPr>
        <w:t xml:space="preserve">A follow-up call to discuss findings and next steps</w:t>
      </w:r>
    </w:p>
    <w:p>
      <w:pPr>
        <w:spacing w:after="60" w:before="140"/>
      </w:pPr>
      <w:r>
        <w:rPr>
          <w:rFonts w:ascii="Calibri" w:cs="Calibri" w:eastAsia="Calibri" w:hAnsi="Calibri"/>
          <w:b/>
          <w:bCs/>
          <w:color w:val="1F3050"/>
          <w:sz w:val="20"/>
          <w:szCs w:val="20"/>
        </w:rPr>
        <w:t xml:space="preserve">Filing and Protection Phase</w:t>
      </w:r>
    </w:p>
    <w:p>
      <w:pPr>
        <w:pStyle w:val="ListParagraph"/>
        <w:numPr>
          <w:ilvl w:val="0"/>
          <w:numId w:val="1"/>
        </w:numPr>
        <w:spacing w:after="60"/>
      </w:pPr>
      <w:r>
        <w:rPr>
          <w:rFonts w:ascii="Calibri" w:cs="Calibri" w:eastAsia="Calibri" w:hAnsi="Calibri"/>
          <w:sz w:val="21"/>
          <w:szCs w:val="21"/>
        </w:rPr>
        <w:t xml:space="preserve">Preparation and filing of the trademark application with the USPTO</w:t>
      </w:r>
    </w:p>
    <w:p>
      <w:pPr>
        <w:pStyle w:val="ListParagraph"/>
        <w:numPr>
          <w:ilvl w:val="0"/>
          <w:numId w:val="1"/>
        </w:numPr>
        <w:spacing w:after="60"/>
      </w:pPr>
      <w:r>
        <w:rPr>
          <w:rFonts w:ascii="Calibri" w:cs="Calibri" w:eastAsia="Calibri" w:hAnsi="Calibri"/>
          <w:sz w:val="21"/>
          <w:szCs w:val="21"/>
        </w:rPr>
        <w:t xml:space="preserve">Handling of all USPTO communications throughout the registration process, which typically takes 12 or more months</w:t>
      </w:r>
    </w:p>
    <w:p>
      <w:pPr>
        <w:pStyle w:val="ListParagraph"/>
        <w:numPr>
          <w:ilvl w:val="0"/>
          <w:numId w:val="1"/>
        </w:numPr>
        <w:spacing w:after="60"/>
      </w:pPr>
      <w:r>
        <w:rPr>
          <w:rFonts w:ascii="Calibri" w:cs="Calibri" w:eastAsia="Calibri" w:hAnsi="Calibri"/>
          <w:sz w:val="21"/>
          <w:szCs w:val="21"/>
        </w:rPr>
        <w:t xml:space="preserve">Response to simple office actions, including amendments, disclaimers, and information requests, at no additional fee</w:t>
      </w:r>
    </w:p>
    <w:p>
      <w:pPr>
        <w:spacing w:after="140" w:line="276"/>
      </w:pPr>
      <w:r>
        <w:rPr>
          <w:rFonts w:ascii="Calibri" w:cs="Calibri" w:eastAsia="Calibri" w:hAnsi="Calibri"/>
          <w:sz w:val="21"/>
          <w:szCs w:val="21"/>
        </w:rPr>
        <w:t xml:space="preserve">This engagement does not include litigation or proceedings before the Trademark Trial and Appeal Board (TTAB). Those matters are available as a separately elected service.</w:t>
      </w:r>
    </w:p>
    <w:p>
      <w:pPr>
        <w:spacing w:after="100" w:before="200"/>
      </w:pPr>
      <w:r>
        <w:rPr>
          <w:rFonts w:ascii="Calibri" w:cs="Calibri" w:eastAsia="Calibri" w:hAnsi="Calibri"/>
          <w:b/>
          <w:bCs/>
          <w:color w:val="1F3050"/>
          <w:sz w:val="22"/>
          <w:szCs w:val="22"/>
        </w:rPr>
        <w:t xml:space="preserve">Section 2. Mark Election</w:t>
      </w:r>
    </w:p>
    <w:p>
      <w:pPr>
        <w:spacing w:after="140" w:line="276"/>
      </w:pPr>
      <w:r>
        <w:rPr>
          <w:rFonts w:ascii="Calibri" w:cs="Calibri" w:eastAsia="Calibri" w:hAnsi="Calibri"/>
          <w:sz w:val="21"/>
          <w:szCs w:val="21"/>
        </w:rPr>
        <w:t xml:space="preserve">This Agreement covers one (1) mark only. If Client is seeking protection for more than one mark, including a word or standard character mark and a separate design or logo mark, a separate signed engagement agreement and separate fee are required for each mark, even if the marks are related or filed at the same time.</w:t>
      </w:r>
    </w:p>
    <w:p>
      <w:pPr>
        <w:spacing w:after="60" w:before="100"/>
      </w:pPr>
      <w:r>
        <w:rPr>
          <w:rFonts w:ascii="Calibri" w:cs="Calibri" w:eastAsia="Calibri" w:hAnsi="Calibri"/>
          <w:sz w:val="21"/>
          <w:szCs w:val="21"/>
        </w:rPr>
        <w:t xml:space="preserve"/>
      </w:r>
      <w:r>
        <w:rPr>
          <w:rFonts w:ascii="Calibri" w:cs="Calibri" w:eastAsia="Calibri" w:hAnsi="Calibri"/>
          <w:b w:val="false"/>
          <w:bCs w:val="false"/>
          <w:sz w:val="21"/>
          <w:szCs w:val="21"/>
        </w:rPr>
        <w:t xml:space="preserve">Mark type elected: {{answers.mark_type}}.</w:t>
      </w:r>
    </w:p>
    <w:p>
      <w:pPr>
        <w:spacing w:after="140" w:line="276"/>
      </w:pPr>
      <w:r>
        <w:rPr>
          <w:rFonts w:ascii="Calibri" w:cs="Calibri" w:eastAsia="Calibri" w:hAnsi="Calibri"/>
          <w:sz w:val="21"/>
          <w:szCs w:val="21"/>
        </w:rPr>
        <w:t xml:space="preserve">Mark: {{answers.mark_name}}     Number of classes to be filed: {{answers.number_of_classes}}</w:t>
      </w:r>
    </w:p>
    <w:p>
      <w:pPr>
        <w:spacing w:after="140" w:line="276"/>
      </w:pPr>
      <w:r>
        <w:rPr>
          <w:rFonts w:ascii="Calibri" w:cs="Calibri" w:eastAsia="Calibri" w:hAnsi="Calibri"/>
          <w:i/>
          <w:iCs/>
          <w:color w:val="555555"/>
          <w:sz w:val="19"/>
          <w:szCs w:val="19"/>
        </w:rPr>
        <w:t xml:space="preserve">Client may include as many classes of goods or services as Client elects. The attorney fee stated in Section 3 does not change based on the number of classes filed; Client is responsible only for the USPTO's separate filing fee of $350 per class, paid directly to the USPTO.</w:t>
      </w:r>
    </w:p>
    <w:p>
      <w:pPr>
        <w:spacing w:after="100" w:before="200"/>
      </w:pPr>
      <w:r>
        <w:rPr>
          <w:rFonts w:ascii="Calibri" w:cs="Calibri" w:eastAsia="Calibri" w:hAnsi="Calibri"/>
          <w:b/>
          <w:bCs/>
          <w:color w:val="1F3050"/>
          <w:sz w:val="22"/>
          <w:szCs w:val="22"/>
        </w:rPr>
        <w:t xml:space="preserve">Section 3. Fee and Payment</w:t>
      </w:r>
    </w:p>
    <w:p>
      <w:pPr>
        <w:spacing w:after="140" w:line="276"/>
      </w:pPr>
      <w:r>
        <w:rPr>
          <w:rFonts w:ascii="Calibri" w:cs="Calibri" w:eastAsia="Calibri" w:hAnsi="Calibri"/>
          <w:sz w:val="21"/>
          <w:szCs w:val="21"/>
        </w:rPr>
        <w:t xml:space="preserve">The flat fee for the Full Shield tier is $2,100 + USPTO fees, regardless of the number of classes Client elects to include in the application. This fee does not include the USPTO filing fee of $350 per class, which is a separate government cost paid directly to the USPTO and is entirely separate from and not included in the attorney fee.</w:t>
      </w:r>
    </w:p>
    <w:p>
      <w:pPr>
        <w:spacing w:after="140" w:line="276"/>
      </w:pPr>
      <w:r>
        <w:rPr>
          <w:rFonts w:ascii="Calibri" w:cs="Calibri" w:eastAsia="Calibri" w:hAnsi="Calibri"/>
          <w:sz w:val="21"/>
          <w:szCs w:val="21"/>
        </w:rPr>
        <w:t xml:space="preserve">The total fee is due in full at the time Client signs this Agreement, payable through the Firm's online payment portal. Advance fees are deposited into Attorney's IOLTA trust account and are not earned by Attorney until the trademark application is filed with the USPTO, consistent with Attorney's standard trust accounting practice.</w:t>
      </w:r>
    </w:p>
    <w:p>
      <w:pPr>
        <w:spacing w:after="140" w:line="276"/>
      </w:pPr>
      <w:r>
        <w:rPr>
          <w:rFonts w:ascii="Calibri" w:cs="Calibri" w:eastAsia="Calibri" w:hAnsi="Calibri"/>
          <w:sz w:val="21"/>
          <w:szCs w:val="21"/>
        </w:rPr>
        <w:t xml:space="preserve">If Client wishes to pay in installments rather than in full at signing, Client may request an installment payment plan before signing. Any installment plan must be set up through Attorney's practice management system and requires a saved payment method on file. Amounts collected under an installment plan remain unearned advance fees held in trust until the applicable deliverable is complete, regardless of the collection schedule, and installment payments do not begin the engagement or reserve Attorney's services until the plan is approved and the first payment is processed.</w:t>
      </w:r>
    </w:p>
    <w:p>
      <w:pPr>
        <w:spacing w:after="140" w:line="276"/>
      </w:pPr>
      <w:r>
        <w:rPr>
          <w:rFonts w:ascii="Calibri" w:cs="Calibri" w:eastAsia="Calibri" w:hAnsi="Calibri"/>
          <w:sz w:val="21"/>
          <w:szCs w:val="21"/>
        </w:rPr>
        <w:t xml:space="preserve">Invoices for any out-of-scope work billed under this Agreement, including litigation, opposition, or Trademark Trial and Appeal Board proceedings, are due within 7 days of the invoice date. Client authorizes automatic billing of any card or payment method on file for amounts due under this Agreement. Where no card is on file, unpaid balances accrue a late fee of 1.5% per month (18% per annum maximum). Attorney reserves the right to suspend services for any account with an unpaid balance more than 30 days past due.</w:t>
      </w:r>
    </w:p>
    <w:p>
      <w:pPr>
        <w:spacing w:after="100" w:before="200"/>
      </w:pPr>
      <w:r>
        <w:rPr>
          <w:rFonts w:ascii="Calibri" w:cs="Calibri" w:eastAsia="Calibri" w:hAnsi="Calibri"/>
          <w:b/>
          <w:bCs/>
          <w:color w:val="1F3050"/>
          <w:sz w:val="22"/>
          <w:szCs w:val="22"/>
        </w:rPr>
        <w:t xml:space="preserve">Section 4. Registration Timeline and Process Overview</w:t>
      </w:r>
    </w:p>
    <w:p>
      <w:pPr>
        <w:spacing w:after="140" w:line="276"/>
      </w:pPr>
      <w:r>
        <w:rPr>
          <w:rFonts w:ascii="Calibri" w:cs="Calibri" w:eastAsia="Calibri" w:hAnsi="Calibri"/>
          <w:sz w:val="21"/>
          <w:szCs w:val="21"/>
        </w:rPr>
        <w:t xml:space="preserve">The following is a general overview of the USPTO trademark process and current average processing times, based on USPTO's published performance data. These figures are USPTO-wide averages, not a guarantee for Client's specific application, and supersede any timeframe discussed during intake or consultation.</w:t>
      </w:r>
    </w:p>
    <w:p>
      <w:pPr>
        <w:pStyle w:val="ListParagraph"/>
        <w:numPr>
          <w:ilvl w:val="0"/>
          <w:numId w:val="1"/>
        </w:numPr>
        <w:spacing w:after="60"/>
      </w:pPr>
      <w:r>
        <w:rPr>
          <w:rFonts w:ascii="Calibri" w:cs="Calibri" w:eastAsia="Calibri" w:hAnsi="Calibri"/>
          <w:sz w:val="21"/>
          <w:szCs w:val="21"/>
        </w:rPr>
        <w:t xml:space="preserve">Filing: the application is submitted to the USPTO and assigned a serial number.</w:t>
      </w:r>
    </w:p>
    <w:p>
      <w:pPr>
        <w:pStyle w:val="ListParagraph"/>
        <w:numPr>
          <w:ilvl w:val="0"/>
          <w:numId w:val="1"/>
        </w:numPr>
        <w:spacing w:after="60"/>
      </w:pPr>
      <w:r>
        <w:rPr>
          <w:rFonts w:ascii="Calibri" w:cs="Calibri" w:eastAsia="Calibri" w:hAnsi="Calibri"/>
          <w:sz w:val="21"/>
          <w:szCs w:val="21"/>
        </w:rPr>
        <w:t xml:space="preserve">Examination / First Office Action: an examining attorney reviews the application for compliance with federal law. USPTO's target for the current fiscal year is approximately 5 months from filing, with a long-term USPTO goal of 4.5 months.</w:t>
      </w:r>
    </w:p>
    <w:p>
      <w:pPr>
        <w:pStyle w:val="ListParagraph"/>
        <w:numPr>
          <w:ilvl w:val="0"/>
          <w:numId w:val="1"/>
        </w:numPr>
        <w:spacing w:after="60"/>
      </w:pPr>
      <w:r>
        <w:rPr>
          <w:rFonts w:ascii="Calibri" w:cs="Calibri" w:eastAsia="Calibri" w:hAnsi="Calibri"/>
          <w:sz w:val="21"/>
          <w:szCs w:val="21"/>
        </w:rPr>
        <w:t xml:space="preserve">Office Action Response: if an office action issues, Client has 3 months to respond, with one available 3-month extension.</w:t>
      </w:r>
    </w:p>
    <w:p>
      <w:pPr>
        <w:pStyle w:val="ListParagraph"/>
        <w:numPr>
          <w:ilvl w:val="0"/>
          <w:numId w:val="1"/>
        </w:numPr>
        <w:spacing w:after="60"/>
      </w:pPr>
      <w:r>
        <w:rPr>
          <w:rFonts w:ascii="Calibri" w:cs="Calibri" w:eastAsia="Calibri" w:hAnsi="Calibri"/>
          <w:sz w:val="21"/>
          <w:szCs w:val="21"/>
        </w:rPr>
        <w:t xml:space="preserve">Publication for Opposition: an approved application is published for a 30-day period during which third parties may oppose registration.</w:t>
      </w:r>
    </w:p>
    <w:p>
      <w:pPr>
        <w:pStyle w:val="ListParagraph"/>
        <w:numPr>
          <w:ilvl w:val="0"/>
          <w:numId w:val="1"/>
        </w:numPr>
        <w:spacing w:after="60"/>
      </w:pPr>
      <w:r>
        <w:rPr>
          <w:rFonts w:ascii="Calibri" w:cs="Calibri" w:eastAsia="Calibri" w:hAnsi="Calibri"/>
          <w:sz w:val="21"/>
          <w:szCs w:val="21"/>
        </w:rPr>
        <w:t xml:space="preserve">Notice of Allowance and Statement of Use (intent-to-use applications only): if the mark is not yet in use in commerce, USPTO issues a Notice of Allowance, and Client then has 6 months to file a Statement of Use, with extensions available. Initial Statement of Use processing targets 15 business days, with registration typically issuing approximately 4 months after the Statement of Use is filed.</w:t>
      </w:r>
    </w:p>
    <w:p>
      <w:pPr>
        <w:pStyle w:val="ListParagraph"/>
        <w:numPr>
          <w:ilvl w:val="0"/>
          <w:numId w:val="1"/>
        </w:numPr>
        <w:spacing w:after="60"/>
      </w:pPr>
      <w:r>
        <w:rPr>
          <w:rFonts w:ascii="Calibri" w:cs="Calibri" w:eastAsia="Calibri" w:hAnsi="Calibri"/>
          <w:sz w:val="21"/>
          <w:szCs w:val="21"/>
        </w:rPr>
        <w:t xml:space="preserve">Registration: if no opposition is filed and all requirements are met, USPTO issues a certificate of registration.</w:t>
      </w:r>
    </w:p>
    <w:p>
      <w:pPr>
        <w:pStyle w:val="ListParagraph"/>
        <w:numPr>
          <w:ilvl w:val="0"/>
          <w:numId w:val="1"/>
        </w:numPr>
        <w:spacing w:after="60"/>
      </w:pPr>
      <w:r>
        <w:rPr>
          <w:rFonts w:ascii="Calibri" w:cs="Calibri" w:eastAsia="Calibri" w:hAnsi="Calibri"/>
          <w:sz w:val="21"/>
          <w:szCs w:val="21"/>
        </w:rPr>
        <w:t xml:space="preserve">Total Average Timeline: USPTO's overall target for total pendency to registration, abandonment, or notice of allowance, including applications that were suspended or involved in Trademark Trial and Appeal Board proceedings, is approximately 14 months on average for the current fiscal year.</w:t>
      </w:r>
    </w:p>
    <w:p>
      <w:pPr>
        <w:spacing w:after="140" w:line="276"/>
      </w:pPr>
      <w:r>
        <w:rPr>
          <w:rFonts w:ascii="Calibri" w:cs="Calibri" w:eastAsia="Calibri" w:hAnsi="Calibri"/>
          <w:i/>
          <w:iCs/>
          <w:color w:val="555555"/>
          <w:sz w:val="19"/>
          <w:szCs w:val="19"/>
        </w:rPr>
        <w:t xml:space="preserve">These figures are subject to change based on USPTO workload, the nature of the mark, and whether office actions or oppositions arise. Attorney makes no guarantee of registration or of any particular timeframe.</w:t>
      </w:r>
    </w:p>
    <w:p>
      <w:pPr>
        <w:spacing w:after="100" w:before="200"/>
      </w:pPr>
      <w:r>
        <w:rPr>
          <w:rFonts w:ascii="Calibri" w:cs="Calibri" w:eastAsia="Calibri" w:hAnsi="Calibri"/>
          <w:b/>
          <w:bCs/>
          <w:color w:val="1F3050"/>
          <w:sz w:val="22"/>
          <w:szCs w:val="22"/>
        </w:rPr>
        <w:t xml:space="preserve">Section 5. Deliverables and Acceptance</w:t>
      </w:r>
    </w:p>
    <w:p>
      <w:pPr>
        <w:spacing w:after="140" w:line="276"/>
      </w:pPr>
      <w:r>
        <w:rPr>
          <w:rFonts w:ascii="Calibri" w:cs="Calibri" w:eastAsia="Calibri" w:hAnsi="Calibri"/>
          <w:sz w:val="21"/>
          <w:szCs w:val="21"/>
        </w:rPr>
        <w:t xml:space="preserve">Client has 5 business days from the date of delivery to review the deliverable and request revisions within the scope of this engagement. The deliverable is deemed accepted if Attorney receives no written objection within that period. Revisions requested outside that window, or revisions that exceed the scope of this engagement, will be billed as an out-of-scope service at Attorney's then-current hourly rate.</w:t>
      </w:r>
    </w:p>
    <w:p>
      <w:pPr>
        <w:spacing w:after="100" w:before="200"/>
      </w:pPr>
      <w:r>
        <w:rPr>
          <w:rFonts w:ascii="Calibri" w:cs="Calibri" w:eastAsia="Calibri" w:hAnsi="Calibri"/>
          <w:b/>
          <w:bCs/>
          <w:color w:val="1F3050"/>
          <w:sz w:val="22"/>
          <w:szCs w:val="22"/>
        </w:rPr>
        <w:t xml:space="preserve">Section 6. Client Responsibilities</w:t>
      </w:r>
    </w:p>
    <w:p>
      <w:pPr>
        <w:spacing w:after="140" w:line="276"/>
      </w:pPr>
      <w:r>
        <w:rPr>
          <w:rFonts w:ascii="Calibri" w:cs="Calibri" w:eastAsia="Calibri" w:hAnsi="Calibri"/>
          <w:sz w:val="21"/>
          <w:szCs w:val="21"/>
        </w:rPr>
        <w:t xml:space="preserve">Client agrees to provide complete and accurate information necessary for Attorney to perform the services described in this Agreement, and to respond to Attorney's requests in a timely manner. Delay in providing requested information may delay delivery of the deliverable and, where applicable, may extend USPTO or state filing timelines beyond Attorney's control.</w:t>
      </w:r>
    </w:p>
    <w:p>
      <w:pPr>
        <w:spacing w:after="100" w:before="200"/>
      </w:pPr>
      <w:r>
        <w:rPr>
          <w:rFonts w:ascii="Calibri" w:cs="Calibri" w:eastAsia="Calibri" w:hAnsi="Calibri"/>
          <w:b/>
          <w:bCs/>
          <w:color w:val="1F3050"/>
          <w:sz w:val="22"/>
          <w:szCs w:val="22"/>
        </w:rPr>
        <w:t xml:space="preserve">Section 7. Communication and Business Hours</w:t>
      </w:r>
    </w:p>
    <w:p>
      <w:pPr>
        <w:spacing w:after="140" w:line="276"/>
      </w:pPr>
      <w:r>
        <w:rPr>
          <w:rFonts w:ascii="Calibri" w:cs="Calibri" w:eastAsia="Calibri" w:hAnsi="Calibri"/>
          <w:sz w:val="21"/>
          <w:szCs w:val="21"/>
        </w:rPr>
        <w:t xml:space="preserve">The Firm's business hours are Monday through Friday, 9:30 a.m. to 4:30 p.m. Central Time. Attorney has no obligation to respond to communications received outside of business hours, and after-hours voicemails may be deleted without response. Attorney reserves the right to bill any expedited or after-hours request at Attorney's then-current hourly rate.</w:t>
      </w:r>
    </w:p>
    <w:p>
      <w:pPr>
        <w:spacing w:after="100" w:before="200"/>
      </w:pPr>
      <w:r>
        <w:rPr>
          <w:rFonts w:ascii="Calibri" w:cs="Calibri" w:eastAsia="Calibri" w:hAnsi="Calibri"/>
          <w:b/>
          <w:bCs/>
          <w:color w:val="1F3050"/>
          <w:sz w:val="22"/>
          <w:szCs w:val="22"/>
        </w:rPr>
        <w:t xml:space="preserve">Section 8. Confidentiality</w:t>
      </w:r>
    </w:p>
    <w:p>
      <w:pPr>
        <w:spacing w:after="140" w:line="276"/>
      </w:pPr>
      <w:r>
        <w:rPr>
          <w:rFonts w:ascii="Calibri" w:cs="Calibri" w:eastAsia="Calibri" w:hAnsi="Calibri"/>
          <w:sz w:val="21"/>
          <w:szCs w:val="21"/>
        </w:rPr>
        <w:t xml:space="preserve">Attorney will maintain the confidentiality of information Client provides in connection with this engagement, consistent with Georgia Rule of Professional Conduct 1.6 and Texas Disciplinary Rule of Professional Conduct 1.05.</w:t>
      </w:r>
    </w:p>
    <w:p>
      <w:pPr>
        <w:spacing w:after="100" w:before="200"/>
      </w:pPr>
      <w:r>
        <w:rPr>
          <w:rFonts w:ascii="Calibri" w:cs="Calibri" w:eastAsia="Calibri" w:hAnsi="Calibri"/>
          <w:b/>
          <w:bCs/>
          <w:color w:val="1F3050"/>
          <w:sz w:val="22"/>
          <w:szCs w:val="22"/>
        </w:rPr>
        <w:t xml:space="preserve">Section 9. Termination</w:t>
      </w:r>
    </w:p>
    <w:p>
      <w:pPr>
        <w:spacing w:after="140" w:line="276"/>
      </w:pPr>
      <w:r>
        <w:rPr>
          <w:rFonts w:ascii="Calibri" w:cs="Calibri" w:eastAsia="Calibri" w:hAnsi="Calibri"/>
          <w:sz w:val="21"/>
          <w:szCs w:val="21"/>
        </w:rPr>
        <w:t xml:space="preserve">Either Party may terminate this Agreement as provided under Georgia Rule of Professional Conduct 1.16 and Texas Disciplinary Rule of Professional Conduct 1.15. Fees for work performed prior to termination are earned and non-refundable. Any unearned trust deposit will be refunded to Client following termination.</w:t>
      </w:r>
    </w:p>
    <w:p>
      <w:pPr>
        <w:spacing w:after="100" w:before="200"/>
      </w:pPr>
      <w:r>
        <w:rPr>
          <w:rFonts w:ascii="Calibri" w:cs="Calibri" w:eastAsia="Calibri" w:hAnsi="Calibri"/>
          <w:b/>
          <w:bCs/>
          <w:color w:val="1F3050"/>
          <w:sz w:val="22"/>
          <w:szCs w:val="22"/>
        </w:rPr>
        <w:t xml:space="preserve">Section 10. Malpractice Insurance Disclosure</w:t>
      </w:r>
    </w:p>
    <w:p>
      <w:pPr>
        <w:spacing w:after="140" w:line="276"/>
      </w:pPr>
      <w:r>
        <w:rPr>
          <w:rFonts w:ascii="Calibri" w:cs="Calibri" w:eastAsia="Calibri" w:hAnsi="Calibri"/>
          <w:sz w:val="21"/>
          <w:szCs w:val="21"/>
        </w:rPr>
        <w:t xml:space="preserve">Attorney carries professional liability (malpractice) insurance.</w:t>
      </w:r>
    </w:p>
    <w:p>
      <w:pPr>
        <w:spacing w:after="100" w:before="200"/>
      </w:pPr>
      <w:r>
        <w:rPr>
          <w:rFonts w:ascii="Calibri" w:cs="Calibri" w:eastAsia="Calibri" w:hAnsi="Calibri"/>
          <w:b/>
          <w:bCs/>
          <w:color w:val="1F3050"/>
          <w:sz w:val="22"/>
          <w:szCs w:val="22"/>
        </w:rPr>
        <w:t xml:space="preserve">Section 11. Dispute Resolution</w:t>
      </w:r>
    </w:p>
    <w:p>
      <w:pPr>
        <w:spacing w:after="140" w:line="276"/>
      </w:pPr>
      <w:r>
        <w:rPr>
          <w:rFonts w:ascii="Calibri" w:cs="Calibri" w:eastAsia="Calibri" w:hAnsi="Calibri"/>
          <w:sz w:val="21"/>
          <w:szCs w:val="21"/>
        </w:rPr>
        <w:t xml:space="preserve">Any dispute regarding fees arising under this Agreement is subject to a seven (7) day written notice period as a good faith prerequisite to formal proceedings. If the dispute is not resolved within that period, it will be submitted to binding arbitration administered under the State Bar of Texas fee dispute and arbitration procedures, before a single arbitrator, with each Party bearing its own costs and fees. Both Parties waive the right to a jury trial.</w:t>
      </w:r>
    </w:p>
    <w:p>
      <w:pPr>
        <w:spacing w:after="100" w:before="200"/>
      </w:pPr>
      <w:r>
        <w:rPr>
          <w:rFonts w:ascii="Calibri" w:cs="Calibri" w:eastAsia="Calibri" w:hAnsi="Calibri"/>
          <w:b/>
          <w:bCs/>
          <w:color w:val="1F3050"/>
          <w:sz w:val="22"/>
          <w:szCs w:val="22"/>
        </w:rPr>
        <w:t xml:space="preserve">Section 12. Governing Law</w:t>
      </w:r>
    </w:p>
    <w:p>
      <w:pPr>
        <w:spacing w:after="140" w:line="276"/>
      </w:pPr>
      <w:r>
        <w:rPr>
          <w:rFonts w:ascii="Calibri" w:cs="Calibri" w:eastAsia="Calibri" w:hAnsi="Calibri"/>
          <w:sz w:val="21"/>
          <w:szCs w:val="21"/>
        </w:rPr>
        <w:t xml:space="preserve">This Agreement, and the underlying engagement, are governed by the laws of the State of Texas, without regard to conflict of law principles. Prosecution of the trademark application itself is governed exclusively by federal law and the rules of the United States Patent and Trademark Office.</w:t>
      </w:r>
    </w:p>
    <w:p>
      <w:pPr>
        <w:spacing w:after="100" w:before="200"/>
      </w:pPr>
      <w:r>
        <w:rPr>
          <w:rFonts w:ascii="Calibri" w:cs="Calibri" w:eastAsia="Calibri" w:hAnsi="Calibri"/>
          <w:b/>
          <w:bCs/>
          <w:color w:val="1F3050"/>
          <w:sz w:val="22"/>
          <w:szCs w:val="22"/>
        </w:rPr>
        <w:t xml:space="preserve">Section 13. Entire Agreement</w:t>
      </w:r>
    </w:p>
    <w:p>
      <w:pPr>
        <w:spacing w:after="140" w:line="276"/>
      </w:pPr>
      <w:r>
        <w:rPr>
          <w:rFonts w:ascii="Calibri" w:cs="Calibri" w:eastAsia="Calibri" w:hAnsi="Calibri"/>
          <w:sz w:val="21"/>
          <w:szCs w:val="21"/>
        </w:rPr>
        <w:t xml:space="preserve">This Agreement constitutes the entire agreement between the Parties regarding the subject matter described above and supersedes all prior discussions, whether oral or written, regarding this engagement.</w:t>
      </w:r>
    </w:p>
    <w:p>
      <w:pPr>
        <w:spacing w:after="100" w:before="200"/>
      </w:pPr>
      <w:r>
        <w:rPr>
          <w:rFonts w:ascii="Calibri" w:cs="Calibri" w:eastAsia="Calibri" w:hAnsi="Calibri"/>
          <w:b/>
          <w:bCs/>
          <w:color w:val="1F3050"/>
          <w:sz w:val="22"/>
          <w:szCs w:val="22"/>
        </w:rPr>
        <w:t xml:space="preserve">Signatures</w:t>
      </w:r>
    </w:p>
    <w:p>
      <w:pPr>
        <w:spacing w:after="140" w:line="276"/>
      </w:pPr>
      <w:r>
        <w:rPr>
          <w:rFonts w:ascii="Calibri" w:cs="Calibri" w:eastAsia="Calibri" w:hAnsi="Calibri"/>
          <w:sz w:val="21"/>
          <w:szCs w:val="21"/>
        </w:rPr>
        <w:t xml:space="preserve">By signing below, Client acknowledges having read and agreed to the terms of this Agreement, including the elected service(s) and fee stated above, and authorizes the payment terms described in this Agreement.</w:t>
      </w:r>
    </w:p>
    <w:p>
      <w:pPr>
        <w:spacing w:after="140" w:line="276"/>
      </w:pPr>
      <w:r>
        <w:rPr>
          <w:rFonts w:ascii="Calibri" w:cs="Calibri" w:eastAsia="Calibri" w:hAnsi="Calibri"/>
          <w:b/>
          <w:bCs/>
          <w:sz w:val="21"/>
          <w:szCs w:val="21"/>
        </w:rPr>
        <w:t xml:space="preserve">Client:</w:t>
      </w:r>
    </w:p>
    <w:p>
      <w:pPr>
        <w:pBdr>
          <w:bottom w:val="single" w:color="999999" w:sz="4"/>
        </w:pBdr>
        <w:spacing w:after="40" w:before="400"/>
      </w:pPr>
      <w:r>
        <w:rPr>
          <w:sz w:val="21"/>
          <w:szCs w:val="21"/>
        </w:rPr>
        <w:t xml:space="preserve"> </w:t>
      </w:r>
    </w:p>
    <w:p>
      <w:pPr>
        <w:spacing w:after="200"/>
      </w:pPr>
      <w:r>
        <w:rPr>
          <w:rFonts w:ascii="Calibri" w:cs="Calibri" w:eastAsia="Calibri" w:hAnsi="Calibri"/>
          <w:color w:val="666666"/>
          <w:sz w:val="18"/>
          <w:szCs w:val="18"/>
        </w:rPr>
        <w:t xml:space="preserve">Client Signature                                             Date</w:t>
      </w:r>
    </w:p>
    <w:p>
      <w:pPr>
        <w:spacing w:after="140" w:line="276"/>
      </w:pPr>
      <w:r>
        <w:rPr>
          <w:rFonts w:ascii="Calibri" w:cs="Calibri" w:eastAsia="Calibri" w:hAnsi="Calibri"/>
          <w:sz w:val="21"/>
          <w:szCs w:val="21"/>
        </w:rPr>
        <w:t xml:space="preserve">Printed Name: [Client Name]</w:t>
      </w:r>
    </w:p>
    <w:p>
      <w:pPr>
        <w:spacing w:after="140" w:line="276"/>
      </w:pPr>
      <w:r>
        <w:rPr>
          <w:rFonts w:ascii="Calibri" w:cs="Calibri" w:eastAsia="Calibri" w:hAnsi="Calibri"/>
          <w:b/>
          <w:bCs/>
          <w:sz w:val="21"/>
          <w:szCs w:val="21"/>
        </w:rPr>
        <w:t xml:space="preserve">Attorney:</w:t>
      </w:r>
    </w:p>
    <w:p>
      <w:pPr>
        <w:pBdr>
          <w:bottom w:val="single" w:color="999999" w:sz="4"/>
        </w:pBdr>
        <w:spacing w:after="40" w:before="400"/>
      </w:pPr>
      <w:r>
        <w:rPr>
          <w:sz w:val="21"/>
          <w:szCs w:val="21"/>
        </w:rPr>
        <w:t xml:space="preserve"> </w:t>
      </w:r>
    </w:p>
    <w:p>
      <w:pPr>
        <w:spacing w:after="200"/>
      </w:pPr>
      <w:r>
        <w:rPr>
          <w:rFonts w:ascii="Calibri" w:cs="Calibri" w:eastAsia="Calibri" w:hAnsi="Calibri"/>
          <w:color w:val="666666"/>
          <w:sz w:val="18"/>
          <w:szCs w:val="18"/>
        </w:rPr>
        <w:t xml:space="preserve">Jennifer N. Brantley, Esq.                                 Date</w:t>
      </w:r>
    </w:p>
    <w:p>
      <w:pPr>
        <w:spacing w:after="140" w:line="276"/>
      </w:pPr>
      <w:r>
        <w:rPr>
          <w:rFonts w:ascii="Calibri" w:cs="Calibri" w:eastAsia="Calibri" w:hAnsi="Calibri"/>
          <w:sz w:val="21"/>
          <w:szCs w:val="21"/>
        </w:rPr>
        <w:t xml:space="preserve">J Brantley Law, PLLC</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2026-08-02T16:57:56.499Z</dcterms:created>
  <dcterms:modified xsi:type="dcterms:W3CDTF">2026-08-02T16:57:56.499Z</dcterms:modified>
</cp:coreProperties>
</file>

<file path=docProps/custom.xml><?xml version="1.0" encoding="utf-8"?>
<Properties xmlns="http://schemas.openxmlformats.org/officeDocument/2006/custom-properties" xmlns:vt="http://schemas.openxmlformats.org/officeDocument/2006/docPropsVTypes"/>
</file>