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pStyle w:val="Heading1"/>
        <w:spacing w:after="120" w:before="280"/>
      </w:pPr>
      <w:r>
        <w:rPr>
          <w:rFonts w:ascii="Georgia" w:cs="Georgia" w:eastAsia="Georgia" w:hAnsi="Georgia"/>
          <w:b/>
          <w:bCs/>
          <w:color w:val="1F3050"/>
          <w:sz w:val="24"/>
          <w:szCs w:val="24"/>
        </w:rPr>
        <w:t xml:space="preserve">Adult Name Change Engagement Agreement</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("Client"), collectively the "Parties."</w:t>
      </w:r>
    </w:p>
    <w:p>
      <w:pPr>
        <w:spacing w:after="100" w:before="200"/>
      </w:pPr>
      <w:r>
        <w:rPr>
          <w:rFonts w:ascii="Calibri" w:cs="Calibri" w:eastAsia="Calibri" w:hAnsi="Calibri"/>
          <w:b/>
          <w:bCs/>
          <w:color w:val="1F3050"/>
          <w:sz w:val="22"/>
          <w:szCs w:val="22"/>
        </w:rPr>
        <w:t xml:space="preserve">Section 1. Scope of Engagement</w:t>
      </w:r>
    </w:p>
    <w:p>
      <w:pPr>
        <w:spacing w:after="140" w:line="276"/>
      </w:pPr>
      <w:r>
        <w:rPr>
          <w:rFonts w:ascii="Calibri" w:cs="Calibri" w:eastAsia="Calibri" w:hAnsi="Calibri"/>
          <w:sz w:val="21"/>
          <w:szCs w:val="21"/>
        </w:rPr>
        <w:t xml:space="preserve">Attorney will handle a simple, uncontested adult name change matter for Client in the state Client elects below, including preparation of a Petition for Change of Name, a Proposed Order Granting Name Change, filing of the petition with the court, and either attendance at the prove-up hearing or arranging a waiver of the hearing where the court permits, along with a post-order agency notification checklist covering common agencies such as the Social Security Administration, the state driver's license or ID authority, and the U.S. passport office. Court filing fees, fingerprinting fees, and any publication costs are separate government or vendor costs and are Client's responsibility, not included in the attorney fee below.</w:t>
      </w:r>
    </w:p>
    <w:p>
      <w:pPr>
        <w:spacing w:after="140" w:line="276"/>
      </w:pPr>
      <w:r>
        <w:rPr>
          <w:rFonts w:ascii="Calibri" w:cs="Calibri" w:eastAsia="Calibri" w:hAnsi="Calibri"/>
          <w:i/>
          <w:iCs/>
          <w:color w:val="555555"/>
          <w:sz w:val="19"/>
          <w:szCs w:val="19"/>
        </w:rPr>
        <w:t xml:space="preserve">The flat fee stated in Section 3 covers a simple, uncontested matter only, with no criminal history complications. If Attorney determines, at intake or at any point during the engagement, that Client's matter is contested or involves criminal history complications requiring additional work, Attorney will notify Client and issue an invoice for the difference between the flat fee already paid and the applicable complex-matter fee, which ranges from $1,200 to $2,000 depending on the scope of the additional work required.</w:t>
      </w:r>
    </w:p>
    <w:p>
      <w:pPr>
        <w:spacing w:after="140" w:line="276"/>
      </w:pPr>
      <w:r>
        <w:rPr>
          <w:rFonts w:ascii="Calibri" w:cs="Calibri" w:eastAsia="Calibri" w:hAnsi="Calibri"/>
          <w:i/>
          <w:iCs/>
          <w:color w:val="555555"/>
          <w:sz w:val="19"/>
          <w:szCs w:val="19"/>
        </w:rPr>
        <w:t xml:space="preserve">If Client's matter is filed in Georgia, publication of the petition is required by statute, and Attorney will provide guidance on satisfying that requirement. Texas generally does not require publication for an adult name change petition, though the court may impose additional requirements at its discretion.</w:t>
      </w:r>
    </w:p>
    <w:p>
      <w:pPr>
        <w:spacing w:after="100" w:before="200"/>
      </w:pPr>
      <w:r>
        <w:rPr>
          <w:rFonts w:ascii="Calibri" w:cs="Calibri" w:eastAsia="Calibri" w:hAnsi="Calibri"/>
          <w:b/>
          <w:bCs/>
          <w:color w:val="1F3050"/>
          <w:sz w:val="22"/>
          <w:szCs w:val="22"/>
        </w:rPr>
        <w:t xml:space="preserve">Section 2. Jurisdiction Election</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Client's name change petition will be filed in Georgia</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Client's name change petition will be filed in Texas</w:t>
      </w:r>
    </w:p>
    <w:p>
      <w:pPr>
        <w:spacing w:after="100" w:before="200"/>
      </w:pPr>
      <w:r>
        <w:rPr>
          <w:rFonts w:ascii="Calibri" w:cs="Calibri" w:eastAsia="Calibri" w:hAnsi="Calibri"/>
          <w:b/>
          <w:bCs/>
          <w:color w:val="1F3050"/>
          <w:sz w:val="22"/>
          <w:szCs w:val="22"/>
        </w:rPr>
        <w:t xml:space="preserve">Section 3. Fee and Payment</w:t>
      </w:r>
    </w:p>
    <w:p>
      <w:pPr>
        <w:spacing w:after="140" w:line="276"/>
      </w:pPr>
      <w:r>
        <w:rPr>
          <w:rFonts w:ascii="Calibri" w:cs="Calibri" w:eastAsia="Calibri" w:hAnsi="Calibri"/>
          <w:sz w:val="21"/>
          <w:szCs w:val="21"/>
        </w:rPr>
        <w:t xml:space="preserve">The flat fee for a simple, uncontested matter is $1,000. The total fee is due in full at the time Client signs this Agreement, payable through the Firm's online payment portal. Advance fees are deposited into Attorney's IOLTA trust account and are not earned by Attorney until the petition is filed and the hearing is completed or waived, consistent with Attorney's standard trust accounting practice.</w:t>
      </w:r>
    </w:p>
    <w:p>
      <w:pPr>
        <w:spacing w:after="140" w:line="276"/>
      </w:pPr>
      <w:r>
        <w:rPr>
          <w:rFonts w:ascii="Calibri" w:cs="Calibri" w:eastAsia="Calibri" w:hAnsi="Calibri"/>
          <w:sz w:val="21"/>
          <w:szCs w:val="21"/>
        </w:rPr>
        <w:t xml:space="preserve">If Client wishes to pay in installments rather than in full at signing, Client may request an installment payment plan before signing. Any installment plan must be set up through Attorney's practice management system and requires a saved payment method on file. Amounts collected under an installment plan remain unearned advance fees held in trust until the petition is filed and the hearing is completed or waived, regardless of the collection schedule, and installment payments do not begin the engagement or reserve Attorney's services until the plan is approved and the first payment is processed.</w:t>
      </w:r>
    </w:p>
    <w:p>
      <w:pPr>
        <w:spacing w:after="140" w:line="276"/>
      </w:pPr>
      <w:r>
        <w:rPr>
          <w:rFonts w:ascii="Calibri" w:cs="Calibri" w:eastAsia="Calibri" w:hAnsi="Calibri"/>
          <w:sz w:val="21"/>
          <w:szCs w:val="21"/>
        </w:rPr>
        <w:t xml:space="preserve">Invoices for the complex-matter fee difference described in Section 1, and for any other out-of-scope work billed under this Agreement, are due within 7 days of the invoice date. Client authorizes automatic billing of any card or payment method on file for amounts due under this Agreement. Where no card is on file, unpaid balances accrue a late fee of 1.5% per month (18% per annum maximum). Attorney reserves the right to suspend services for any account with an unpaid balance more than 30 days past due.</w:t>
      </w:r>
    </w:p>
    <w:p>
      <w:pPr>
        <w:spacing w:after="100" w:before="200"/>
      </w:pPr>
      <w:r>
        <w:rPr>
          <w:rFonts w:ascii="Calibri" w:cs="Calibri" w:eastAsia="Calibri" w:hAnsi="Calibri"/>
          <w:b/>
          <w:bCs/>
          <w:color w:val="1F3050"/>
          <w:sz w:val="22"/>
          <w:szCs w:val="22"/>
        </w:rPr>
        <w:t xml:space="preserve">Section 4. Deliverables and Acceptance</w:t>
      </w:r>
    </w:p>
    <w:p>
      <w:pPr>
        <w:spacing w:after="140" w:line="276"/>
      </w:pPr>
      <w:r>
        <w:rPr>
          <w:rFonts w:ascii="Calibri" w:cs="Calibri" w:eastAsia="Calibri" w:hAnsi="Calibri"/>
          <w:sz w:val="21"/>
          <w:szCs w:val="21"/>
        </w:rPr>
        <w:t xml:space="preserve">Client has 5 business days from the date of delivery to review the deliverable and request revisions within the scope of this engagement. The deliverable is deemed accepted if Attorney receives no written objection within that period. Revisions requested outside that window, or revisions that exceed the scope of this engagement, will be billed as an out-of-scope service at Attorney's then-current hourly rate.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Client agrees to provide complete and accurate information necessary for Attorney to perform the services described in this Agreement, and to respond to Attorney's requests in a timely manner. Delay in providing requested information may delay delivery of the deliverable and, where applicable, may extend USPTO or state filing timelines beyond Attorney's control.</w:t>
      </w:r>
    </w:p>
    <w:p>
      <w:pPr>
        <w:spacing w:after="100" w:before="200"/>
      </w:pPr>
      <w:r>
        <w:rPr>
          <w:rFonts w:ascii="Calibri" w:cs="Calibri" w:eastAsia="Calibri" w:hAnsi="Calibri"/>
          <w:b/>
          <w:bCs/>
          <w:color w:val="1F3050"/>
          <w:sz w:val="22"/>
          <w:szCs w:val="22"/>
        </w:rPr>
        <w:t xml:space="preserve">Section 6. Communication and Business Hours</w:t>
      </w:r>
    </w:p>
    <w:p>
      <w:pPr>
        <w:spacing w:after="140" w:line="276"/>
      </w:pPr>
      <w:r>
        <w:rPr>
          <w:rFonts w:ascii="Calibri" w:cs="Calibri" w:eastAsia="Calibri" w:hAnsi="Calibri"/>
          <w:sz w:val="21"/>
          <w:szCs w:val="21"/>
        </w:rPr>
        <w:t xml:space="preserve">The Firm's business hours are Monday through Friday, 9:30 a.m. to 4:30 p.m. Central Time. Attorney has no obligation to respond to communications received outside of business hours, and after-hours voicemails may be deleted without response. Attorney reserves the right to bill any expedited or after-hours request at Attorney's then-current hourly rate.</w:t>
      </w:r>
    </w:p>
    <w:p>
      <w:pPr>
        <w:spacing w:after="100" w:before="200"/>
      </w:pPr>
      <w:r>
        <w:rPr>
          <w:rFonts w:ascii="Calibri" w:cs="Calibri" w:eastAsia="Calibri" w:hAnsi="Calibri"/>
          <w:b/>
          <w:bCs/>
          <w:color w:val="1F3050"/>
          <w:sz w:val="22"/>
          <w:szCs w:val="22"/>
        </w:rPr>
        <w:t xml:space="preserve">Section 7. Confidentiality</w:t>
      </w:r>
    </w:p>
    <w:p>
      <w:pPr>
        <w:spacing w:after="140" w:line="276"/>
      </w:pPr>
      <w:r>
        <w:rPr>
          <w:rFonts w:ascii="Calibri" w:cs="Calibri" w:eastAsia="Calibri" w:hAnsi="Calibri"/>
          <w:sz w:val="21"/>
          <w:szCs w:val="21"/>
        </w:rPr>
        <w:t xml:space="preserve">Attorney will maintain the confidentiality of information Client provides in connection with this engagement, consistent with Georgia Rule of Professional Conduct 1.6 and Texas Disciplinary Rule of Professional Conduct 1.05.</w:t>
      </w:r>
    </w:p>
    <w:p>
      <w:pPr>
        <w:spacing w:after="100" w:before="200"/>
      </w:pPr>
      <w:r>
        <w:rPr>
          <w:rFonts w:ascii="Calibri" w:cs="Calibri" w:eastAsia="Calibri" w:hAnsi="Calibri"/>
          <w:b/>
          <w:bCs/>
          <w:color w:val="1F3050"/>
          <w:sz w:val="22"/>
          <w:szCs w:val="22"/>
        </w:rPr>
        <w:t xml:space="preserve">Section 8. Termination</w:t>
      </w:r>
    </w:p>
    <w:p>
      <w:pPr>
        <w:spacing w:after="140" w:line="276"/>
      </w:pPr>
      <w:r>
        <w:rPr>
          <w:rFonts w:ascii="Calibri" w:cs="Calibri" w:eastAsia="Calibri" w:hAnsi="Calibri"/>
          <w:sz w:val="21"/>
          <w:szCs w:val="21"/>
        </w:rPr>
        <w:t xml:space="preserve">Either Party may terminate this Agreement as provided under Georgia Rule of Professional Conduct 1.16 and Texas Disciplinary Rule of Professional Conduct 1.15. Fees for work performed prior to termination are earned and non-refundable. Any unearned trust deposit will be refunded to Client following termination.</w:t>
      </w:r>
    </w:p>
    <w:p>
      <w:pPr>
        <w:spacing w:after="100" w:before="200"/>
      </w:pPr>
      <w:r>
        <w:rPr>
          <w:rFonts w:ascii="Calibri" w:cs="Calibri" w:eastAsia="Calibri" w:hAnsi="Calibri"/>
          <w:b/>
          <w:bCs/>
          <w:color w:val="1F3050"/>
          <w:sz w:val="22"/>
          <w:szCs w:val="22"/>
        </w:rPr>
        <w:t xml:space="preserve">Section 9. Malpractice Insurance Disclosure</w:t>
      </w:r>
    </w:p>
    <w:p>
      <w:pPr>
        <w:spacing w:after="140" w:line="276"/>
      </w:pPr>
      <w:r>
        <w:rPr>
          <w:rFonts w:ascii="Calibri" w:cs="Calibri" w:eastAsia="Calibri" w:hAnsi="Calibri"/>
          <w:sz w:val="21"/>
          <w:szCs w:val="21"/>
        </w:rPr>
        <w:t xml:space="preserve">Attorney carries professional liability (malpractice) insurance.</w:t>
      </w:r>
    </w:p>
    <w:p>
      <w:pPr>
        <w:spacing w:after="100" w:before="200"/>
      </w:pPr>
      <w:r>
        <w:rPr>
          <w:rFonts w:ascii="Calibri" w:cs="Calibri" w:eastAsia="Calibri" w:hAnsi="Calibri"/>
          <w:b/>
          <w:bCs/>
          <w:color w:val="1F3050"/>
          <w:sz w:val="22"/>
          <w:szCs w:val="22"/>
        </w:rPr>
        <w:t xml:space="preserve">Section 10. Dispute Resolution</w:t>
      </w:r>
    </w:p>
    <w:p>
      <w:pPr>
        <w:spacing w:after="140" w:line="276"/>
      </w:pPr>
      <w:r>
        <w:rPr>
          <w:rFonts w:ascii="Calibri" w:cs="Calibri" w:eastAsia="Calibri" w:hAnsi="Calibri"/>
          <w:sz w:val="21"/>
          <w:szCs w:val="21"/>
        </w:rPr>
        <w:t xml:space="preserve">Any dispute regarding fees arising under this Agreement is subject to a seven (7) day written notice period as a good faith prerequisite to formal proceedings. If the dispute is not resolved within that period, it will be submitted to binding arbitration administered under the State Bar of Texas fee dispute and arbitration procedures, before a single arbitrator, with each Party bearing its own costs and fees. Both Parties waive the right to a jury trial.</w:t>
      </w:r>
    </w:p>
    <w:p>
      <w:pPr>
        <w:spacing w:after="100" w:before="200"/>
      </w:pPr>
      <w:r>
        <w:rPr>
          <w:rFonts w:ascii="Calibri" w:cs="Calibri" w:eastAsia="Calibri" w:hAnsi="Calibri"/>
          <w:b/>
          <w:bCs/>
          <w:color w:val="1F3050"/>
          <w:sz w:val="22"/>
          <w:szCs w:val="22"/>
        </w:rPr>
        <w:t xml:space="preserve">Section 11. Governing Law</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Client's state of residence and governing law for this engagement is Georgia</w:t>
      </w:r>
    </w:p>
    <w:p>
      <w:pPr>
        <w:spacing w:after="60" w:before="100"/>
      </w:pPr>
      <w:r>
        <w:rPr>
          <w:rFonts w:ascii="Calibri" w:cs="Calibri" w:eastAsia="Calibri" w:hAnsi="Calibri"/>
          <w:sz w:val="21"/>
          <w:szCs w:val="21"/>
        </w:rPr>
        <w:t xml:space="preserve">☐  </w:t>
      </w:r>
      <w:r>
        <w:rPr>
          <w:rFonts w:ascii="Calibri" w:cs="Calibri" w:eastAsia="Calibri" w:hAnsi="Calibri"/>
          <w:b w:val="false"/>
          <w:bCs w:val="false"/>
          <w:sz w:val="21"/>
          <w:szCs w:val="21"/>
        </w:rPr>
        <w:t xml:space="preserve">Client's state of residence and governing law for this engagement is Texas</w:t>
      </w:r>
    </w:p>
    <w:p>
      <w:pPr>
        <w:spacing w:after="100" w:before="200"/>
      </w:pPr>
      <w:r>
        <w:rPr>
          <w:rFonts w:ascii="Calibri" w:cs="Calibri" w:eastAsia="Calibri" w:hAnsi="Calibri"/>
          <w:b/>
          <w:bCs/>
          <w:color w:val="1F3050"/>
          <w:sz w:val="22"/>
          <w:szCs w:val="22"/>
        </w:rPr>
        <w:t xml:space="preserve">Section 12. Entire Agreement</w:t>
      </w:r>
    </w:p>
    <w:p>
      <w:pPr>
        <w:spacing w:after="140" w:line="276"/>
      </w:pPr>
      <w:r>
        <w:rPr>
          <w:rFonts w:ascii="Calibri" w:cs="Calibri" w:eastAsia="Calibri" w:hAnsi="Calibri"/>
          <w:sz w:val="21"/>
          <w:szCs w:val="21"/>
        </w:rPr>
        <w:t xml:space="preserve">This Agreement constitutes the entire agreement between the Parties regarding the subject matter described above and supersedes all prior discussions, whether oral or written, regarding this engagement.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sz w:val="21"/>
          <w:szCs w:val="21"/>
        </w:rPr>
        <w:t xml:space="preserve">By signing below, Client acknowledges having read and agreed to the terms of this Agreement, including the elected service(s) and fee stated above, and authorizes the payment terms described in this Agreement.</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Jennifer N. Brantley, Esq.                                 Date</w:t>
      </w:r>
    </w:p>
    <w:p>
      <w:pPr>
        <w:spacing w:after="140" w:line="276"/>
      </w:pPr>
      <w:r>
        <w:rPr>
          <w:rFonts w:ascii="Calibri" w:cs="Calibri" w:eastAsia="Calibri" w:hAnsi="Calibri"/>
          <w:sz w:val="21"/>
          <w:szCs w:val="21"/>
        </w:rPr>
        <w:t xml:space="preserve">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2026-08-02T18:41:41.425Z</dcterms:created>
  <dcterms:modified xsi:type="dcterms:W3CDTF">2026-08-02T18:41:41.425Z</dcterms:modified>
</cp:coreProperties>
</file>

<file path=docProps/custom.xml><?xml version="1.0" encoding="utf-8"?>
<Properties xmlns="http://schemas.openxmlformats.org/officeDocument/2006/custom-properties" xmlns:vt="http://schemas.openxmlformats.org/officeDocument/2006/docPropsVTypes"/>
</file>