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Business Formation Engagement Agreement</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 or entity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Attorney is engaged to provide business formation services for Client's proposed or existing business entity in the jurisdiction Client elects below. The specific deliverables included in this engagement depend on the service tier Client elects in Section 2. This engagement does not include ongoing registered agent service, bookkeeping, tax return preparation, or securities compliance advice unless separately elected in writing.</w:t>
      </w:r>
    </w:p>
    <w:p>
      <w:pPr>
        <w:spacing w:after="100" w:before="200"/>
      </w:pPr>
      <w:r>
        <w:rPr>
          <w:rFonts w:ascii="Calibri" w:cs="Calibri" w:eastAsia="Calibri" w:hAnsi="Calibri"/>
          <w:b/>
          <w:bCs/>
          <w:color w:val="1F3050"/>
          <w:sz w:val="22"/>
          <w:szCs w:val="22"/>
        </w:rPr>
        <w:t xml:space="preserve">Section 2. Service Tier Election</w:t>
      </w:r>
    </w:p>
    <w:p>
      <w:pPr>
        <w:spacing w:after="140" w:line="276"/>
      </w:pPr>
      <w:r>
        <w:rPr>
          <w:rFonts w:ascii="Calibri" w:cs="Calibri" w:eastAsia="Calibri" w:hAnsi="Calibri"/>
          <w:sz w:val="21"/>
          <w:szCs w:val="21"/>
        </w:rPr>
        <w:t xml:space="preserve">Client elects one tier below (check one):</w:t>
      </w:r>
    </w:p>
    <w:p>
      <w:pPr>
        <w:spacing w:after="60" w:before="160"/>
      </w:pPr>
      <w:r>
        <w:rPr>
          <w:rFonts w:ascii="Calibri" w:cs="Calibri" w:eastAsia="Calibri" w:hAnsi="Calibri"/>
          <w:sz w:val="21"/>
          <w:szCs w:val="21"/>
        </w:rPr>
        <w:t xml:space="preserve">☐  </w:t>
      </w:r>
      <w:r>
        <w:rPr>
          <w:rFonts w:ascii="Calibri" w:cs="Calibri" w:eastAsia="Calibri" w:hAnsi="Calibri"/>
          <w:b/>
          <w:bCs/>
          <w:sz w:val="21"/>
          <w:szCs w:val="21"/>
        </w:rPr>
        <w:t xml:space="preserve">Launch Ready — $750</w:t>
      </w:r>
    </w:p>
    <w:p>
      <w:pPr>
        <w:pStyle w:val="ListParagraph"/>
        <w:numPr>
          <w:ilvl w:val="0"/>
          <w:numId w:val="1"/>
        </w:numPr>
        <w:spacing w:after="60"/>
      </w:pPr>
      <w:r>
        <w:rPr>
          <w:rFonts w:ascii="Calibri" w:cs="Calibri" w:eastAsia="Calibri" w:hAnsi="Calibri"/>
          <w:sz w:val="21"/>
          <w:szCs w:val="21"/>
        </w:rPr>
        <w:t xml:space="preserve">State LLC or Corporation filing (Texas or Georgia)</w:t>
      </w:r>
    </w:p>
    <w:p>
      <w:pPr>
        <w:pStyle w:val="ListParagraph"/>
        <w:numPr>
          <w:ilvl w:val="0"/>
          <w:numId w:val="1"/>
        </w:numPr>
        <w:spacing w:after="60"/>
      </w:pPr>
      <w:r>
        <w:rPr>
          <w:rFonts w:ascii="Calibri" w:cs="Calibri" w:eastAsia="Calibri" w:hAnsi="Calibri"/>
          <w:sz w:val="21"/>
          <w:szCs w:val="21"/>
        </w:rPr>
        <w:t xml:space="preserve">Certificate of Formation / Articles of Organization</w:t>
      </w:r>
    </w:p>
    <w:p>
      <w:pPr>
        <w:pStyle w:val="ListParagraph"/>
        <w:numPr>
          <w:ilvl w:val="0"/>
          <w:numId w:val="1"/>
        </w:numPr>
        <w:spacing w:after="60"/>
      </w:pPr>
      <w:r>
        <w:rPr>
          <w:rFonts w:ascii="Calibri" w:cs="Calibri" w:eastAsia="Calibri" w:hAnsi="Calibri"/>
          <w:sz w:val="21"/>
          <w:szCs w:val="21"/>
        </w:rPr>
        <w:t xml:space="preserve">Registered agent guidance</w:t>
      </w:r>
    </w:p>
    <w:p>
      <w:pPr>
        <w:pStyle w:val="ListParagraph"/>
        <w:numPr>
          <w:ilvl w:val="0"/>
          <w:numId w:val="1"/>
        </w:numPr>
        <w:spacing w:after="60"/>
      </w:pPr>
      <w:r>
        <w:rPr>
          <w:rFonts w:ascii="Calibri" w:cs="Calibri" w:eastAsia="Calibri" w:hAnsi="Calibri"/>
          <w:sz w:val="21"/>
          <w:szCs w:val="21"/>
        </w:rPr>
        <w:t xml:space="preserve">EIN application support</w:t>
      </w:r>
    </w:p>
    <w:p>
      <w:pPr>
        <w:pStyle w:val="ListParagraph"/>
        <w:numPr>
          <w:ilvl w:val="0"/>
          <w:numId w:val="1"/>
        </w:numPr>
        <w:spacing w:after="60"/>
      </w:pPr>
      <w:r>
        <w:rPr>
          <w:rFonts w:ascii="Calibri" w:cs="Calibri" w:eastAsia="Calibri" w:hAnsi="Calibri"/>
          <w:sz w:val="21"/>
          <w:szCs w:val="21"/>
        </w:rPr>
        <w:t xml:space="preserve">30-minute onboarding call</w:t>
      </w:r>
    </w:p>
    <w:p>
      <w:pPr>
        <w:spacing w:after="60" w:before="160"/>
      </w:pPr>
      <w:r>
        <w:rPr>
          <w:rFonts w:ascii="Calibri" w:cs="Calibri" w:eastAsia="Calibri" w:hAnsi="Calibri"/>
          <w:sz w:val="21"/>
          <w:szCs w:val="21"/>
        </w:rPr>
        <w:t xml:space="preserve">☐  </w:t>
      </w:r>
      <w:r>
        <w:rPr>
          <w:rFonts w:ascii="Calibri" w:cs="Calibri" w:eastAsia="Calibri" w:hAnsi="Calibri"/>
          <w:b/>
          <w:bCs/>
          <w:sz w:val="21"/>
          <w:szCs w:val="21"/>
        </w:rPr>
        <w:t xml:space="preserve">Formation Plus — $1,500</w:t>
      </w:r>
    </w:p>
    <w:p>
      <w:pPr>
        <w:pStyle w:val="ListParagraph"/>
        <w:numPr>
          <w:ilvl w:val="0"/>
          <w:numId w:val="1"/>
        </w:numPr>
        <w:spacing w:after="60"/>
      </w:pPr>
      <w:r>
        <w:rPr>
          <w:rFonts w:ascii="Calibri" w:cs="Calibri" w:eastAsia="Calibri" w:hAnsi="Calibri"/>
          <w:sz w:val="21"/>
          <w:szCs w:val="21"/>
        </w:rPr>
        <w:t xml:space="preserve">Everything in Launch Ready</w:t>
      </w:r>
    </w:p>
    <w:p>
      <w:pPr>
        <w:pStyle w:val="ListParagraph"/>
        <w:numPr>
          <w:ilvl w:val="0"/>
          <w:numId w:val="1"/>
        </w:numPr>
        <w:spacing w:after="60"/>
      </w:pPr>
      <w:r>
        <w:rPr>
          <w:rFonts w:ascii="Calibri" w:cs="Calibri" w:eastAsia="Calibri" w:hAnsi="Calibri"/>
          <w:sz w:val="21"/>
          <w:szCs w:val="21"/>
        </w:rPr>
        <w:t xml:space="preserve">Single-member or multi-member operating agreement</w:t>
      </w:r>
    </w:p>
    <w:p>
      <w:pPr>
        <w:pStyle w:val="ListParagraph"/>
        <w:numPr>
          <w:ilvl w:val="0"/>
          <w:numId w:val="1"/>
        </w:numPr>
        <w:spacing w:after="60"/>
      </w:pPr>
      <w:r>
        <w:rPr>
          <w:rFonts w:ascii="Calibri" w:cs="Calibri" w:eastAsia="Calibri" w:hAnsi="Calibri"/>
          <w:sz w:val="21"/>
          <w:szCs w:val="21"/>
        </w:rPr>
        <w:t xml:space="preserve">S-Corp election filing (if applicable)</w:t>
      </w:r>
    </w:p>
    <w:p>
      <w:pPr>
        <w:pStyle w:val="ListParagraph"/>
        <w:numPr>
          <w:ilvl w:val="0"/>
          <w:numId w:val="1"/>
        </w:numPr>
        <w:spacing w:after="60"/>
      </w:pPr>
      <w:r>
        <w:rPr>
          <w:rFonts w:ascii="Calibri" w:cs="Calibri" w:eastAsia="Calibri" w:hAnsi="Calibri"/>
          <w:sz w:val="21"/>
          <w:szCs w:val="21"/>
        </w:rPr>
        <w:t xml:space="preserve">Initial resolutions</w:t>
      </w:r>
    </w:p>
    <w:p>
      <w:pPr>
        <w:pStyle w:val="ListParagraph"/>
        <w:numPr>
          <w:ilvl w:val="0"/>
          <w:numId w:val="1"/>
        </w:numPr>
        <w:spacing w:after="60"/>
      </w:pPr>
      <w:r>
        <w:rPr>
          <w:rFonts w:ascii="Calibri" w:cs="Calibri" w:eastAsia="Calibri" w:hAnsi="Calibri"/>
          <w:sz w:val="21"/>
          <w:szCs w:val="21"/>
        </w:rPr>
        <w:t xml:space="preserve">Registered agent setup guidance (1 year)</w:t>
      </w:r>
    </w:p>
    <w:p>
      <w:pPr>
        <w:pStyle w:val="ListParagraph"/>
        <w:numPr>
          <w:ilvl w:val="0"/>
          <w:numId w:val="1"/>
        </w:numPr>
        <w:spacing w:after="60"/>
      </w:pPr>
      <w:r>
        <w:rPr>
          <w:rFonts w:ascii="Calibri" w:cs="Calibri" w:eastAsia="Calibri" w:hAnsi="Calibri"/>
          <w:sz w:val="21"/>
          <w:szCs w:val="21"/>
        </w:rPr>
        <w:t xml:space="preserve">60-minute strategy call</w:t>
      </w:r>
    </w:p>
    <w:p>
      <w:pPr>
        <w:spacing w:after="60" w:before="160"/>
      </w:pPr>
      <w:r>
        <w:rPr>
          <w:rFonts w:ascii="Calibri" w:cs="Calibri" w:eastAsia="Calibri" w:hAnsi="Calibri"/>
          <w:sz w:val="21"/>
          <w:szCs w:val="21"/>
        </w:rPr>
        <w:t xml:space="preserve">☐  </w:t>
      </w:r>
      <w:r>
        <w:rPr>
          <w:rFonts w:ascii="Calibri" w:cs="Calibri" w:eastAsia="Calibri" w:hAnsi="Calibri"/>
          <w:b/>
          <w:bCs/>
          <w:sz w:val="21"/>
          <w:szCs w:val="21"/>
        </w:rPr>
        <w:t xml:space="preserve">Business Built — $2,750</w:t>
      </w:r>
    </w:p>
    <w:p>
      <w:pPr>
        <w:pStyle w:val="ListParagraph"/>
        <w:numPr>
          <w:ilvl w:val="0"/>
          <w:numId w:val="1"/>
        </w:numPr>
        <w:spacing w:after="60"/>
      </w:pPr>
      <w:r>
        <w:rPr>
          <w:rFonts w:ascii="Calibri" w:cs="Calibri" w:eastAsia="Calibri" w:hAnsi="Calibri"/>
          <w:sz w:val="21"/>
          <w:szCs w:val="21"/>
        </w:rPr>
        <w:t xml:space="preserve">Everything in Formation Plus</w:t>
      </w:r>
    </w:p>
    <w:p>
      <w:pPr>
        <w:pStyle w:val="ListParagraph"/>
        <w:numPr>
          <w:ilvl w:val="0"/>
          <w:numId w:val="1"/>
        </w:numPr>
        <w:spacing w:after="60"/>
      </w:pPr>
      <w:r>
        <w:rPr>
          <w:rFonts w:ascii="Calibri" w:cs="Calibri" w:eastAsia="Calibri" w:hAnsi="Calibri"/>
          <w:sz w:val="21"/>
          <w:szCs w:val="21"/>
        </w:rPr>
        <w:t xml:space="preserve">Custom multi-member operating agreement</w:t>
      </w:r>
    </w:p>
    <w:p>
      <w:pPr>
        <w:pStyle w:val="ListParagraph"/>
        <w:numPr>
          <w:ilvl w:val="0"/>
          <w:numId w:val="1"/>
        </w:numPr>
        <w:spacing w:after="60"/>
      </w:pPr>
      <w:r>
        <w:rPr>
          <w:rFonts w:ascii="Calibri" w:cs="Calibri" w:eastAsia="Calibri" w:hAnsi="Calibri"/>
          <w:sz w:val="21"/>
          <w:szCs w:val="21"/>
        </w:rPr>
        <w:t xml:space="preserve">Founders agreement / buy-sell provisions</w:t>
      </w:r>
    </w:p>
    <w:p>
      <w:pPr>
        <w:pStyle w:val="ListParagraph"/>
        <w:numPr>
          <w:ilvl w:val="0"/>
          <w:numId w:val="1"/>
        </w:numPr>
        <w:spacing w:after="60"/>
      </w:pPr>
      <w:r>
        <w:rPr>
          <w:rFonts w:ascii="Calibri" w:cs="Calibri" w:eastAsia="Calibri" w:hAnsi="Calibri"/>
          <w:sz w:val="21"/>
          <w:szCs w:val="21"/>
        </w:rPr>
        <w:t xml:space="preserve">One contractor or employment agreement</w:t>
      </w:r>
    </w:p>
    <w:p>
      <w:pPr>
        <w:pStyle w:val="ListParagraph"/>
        <w:numPr>
          <w:ilvl w:val="0"/>
          <w:numId w:val="1"/>
        </w:numPr>
        <w:spacing w:after="60"/>
      </w:pPr>
      <w:r>
        <w:rPr>
          <w:rFonts w:ascii="Calibri" w:cs="Calibri" w:eastAsia="Calibri" w:hAnsi="Calibri"/>
          <w:sz w:val="21"/>
          <w:szCs w:val="21"/>
        </w:rPr>
        <w:t xml:space="preserve">FEIN and state tax registration guidance</w:t>
      </w:r>
    </w:p>
    <w:p>
      <w:pPr>
        <w:pStyle w:val="ListParagraph"/>
        <w:numPr>
          <w:ilvl w:val="0"/>
          <w:numId w:val="1"/>
        </w:numPr>
        <w:spacing w:after="60"/>
      </w:pPr>
      <w:r>
        <w:rPr>
          <w:rFonts w:ascii="Calibri" w:cs="Calibri" w:eastAsia="Calibri" w:hAnsi="Calibri"/>
          <w:sz w:val="21"/>
          <w:szCs w:val="21"/>
        </w:rPr>
        <w:t xml:space="preserve">90-minute launch strategy call</w:t>
      </w:r>
    </w:p>
    <w:p>
      <w:pPr>
        <w:pStyle w:val="ListParagraph"/>
        <w:numPr>
          <w:ilvl w:val="0"/>
          <w:numId w:val="1"/>
        </w:numPr>
        <w:spacing w:after="60"/>
      </w:pPr>
      <w:r>
        <w:rPr>
          <w:rFonts w:ascii="Calibri" w:cs="Calibri" w:eastAsia="Calibri" w:hAnsi="Calibri"/>
          <w:sz w:val="21"/>
          <w:szCs w:val="21"/>
        </w:rPr>
        <w:t xml:space="preserve">30 days of post-formation email support</w:t>
      </w:r>
    </w:p>
    <w:p>
      <w:pPr>
        <w:spacing w:after="140" w:line="276"/>
      </w:pPr>
      <w:r>
        <w:rPr>
          <w:rFonts w:ascii="Calibri" w:cs="Calibri" w:eastAsia="Calibri" w:hAnsi="Calibri"/>
          <w:i/>
          <w:iCs/>
          <w:color w:val="555555"/>
          <w:sz w:val="19"/>
          <w:szCs w:val="19"/>
        </w:rPr>
        <w:t xml:space="preserve">State filing fees are a separate government cost paid directly to the Texas or Georgia Secretary of State and are not included in the attorney fee stated above. Current approximate filing fees are $300 for a Texas LLC or corporation and $100 for a Georgia LLC or corporation; Client should confirm current fees before filing, as these amounts are subject to change by the state.</w:t>
      </w:r>
    </w:p>
    <w:p>
      <w:pPr>
        <w:spacing w:after="100" w:before="200"/>
      </w:pPr>
      <w:r>
        <w:rPr>
          <w:rFonts w:ascii="Calibri" w:cs="Calibri" w:eastAsia="Calibri" w:hAnsi="Calibri"/>
          <w:b/>
          <w:bCs/>
          <w:color w:val="1F3050"/>
          <w:sz w:val="22"/>
          <w:szCs w:val="22"/>
        </w:rPr>
        <w:t xml:space="preserve">Section 3. Fee and Payment</w:t>
      </w:r>
    </w:p>
    <w:p>
      <w:pPr>
        <w:spacing w:after="140" w:line="276"/>
      </w:pPr>
      <w:r>
        <w:rPr>
          <w:rFonts w:ascii="Calibri" w:cs="Calibri" w:eastAsia="Calibri" w:hAnsi="Calibri"/>
          <w:sz w:val="21"/>
          <w:szCs w:val="21"/>
        </w:rPr>
        <w:t xml:space="preserve">The total fee for the elected service is due in full at the time Client signs this Agreement, payable through the Firm's online payment portal. Advance fees are deposited into Attorney's IOLTA trust account and are not earned by Attorney until the formation filing is submitted to the Secretary of State and, if applicable, the operating agreement is delivered, whichever occurs later, consistent with Attorney's standard trust accounting practice.</w:t>
      </w:r>
    </w:p>
    <w:p>
      <w:pPr>
        <w:spacing w:after="140" w:line="276"/>
      </w:pPr>
      <w:r>
        <w:rPr>
          <w:rFonts w:ascii="Calibri" w:cs="Calibri" w:eastAsia="Calibri" w:hAnsi="Calibri"/>
          <w:sz w:val="21"/>
          <w:szCs w:val="21"/>
        </w:rPr>
        <w:t xml:space="preserve">If Client wishes to pay in installments rather than in full at signing, Client may request an installment payment plan before signing. Any installment plan must be set up through Attorney's practice management system and requires a saved payment method on file. Amounts collected under an installment plan remain unearned advance fees held in trust until the applicable deliverable is complete, regardless of the collection schedule, and installment payments do not begin the engagement or reserve Attorney's services until the plan is approved and the first payment is processed.</w:t>
      </w:r>
    </w:p>
    <w:p>
      <w:pPr>
        <w:spacing w:after="140" w:line="276"/>
      </w:pPr>
      <w:r>
        <w:rPr>
          <w:rFonts w:ascii="Calibri" w:cs="Calibri" w:eastAsia="Calibri" w:hAnsi="Calibri"/>
          <w:sz w:val="21"/>
          <w:szCs w:val="21"/>
        </w:rPr>
        <w:t xml:space="preserve">Invoices for any out-of-scope work billed under this Agreement are due within 7 days of the invoice date. Client authorizes automatic billing of any card or payment method on file for amounts due under this Agreement. Where no card is on file, unpaid balances accrue a late fee of 1.5% per month (18% per annum maximum). Attorney reserves the right to suspend services for any account with an unpaid balance more than 30 days past due.</w:t>
      </w:r>
    </w:p>
    <w:p>
      <w:pPr>
        <w:spacing w:after="100" w:before="200"/>
      </w:pPr>
      <w:r>
        <w:rPr>
          <w:rFonts w:ascii="Calibri" w:cs="Calibri" w:eastAsia="Calibri" w:hAnsi="Calibri"/>
          <w:b/>
          <w:bCs/>
          <w:color w:val="1F3050"/>
          <w:sz w:val="22"/>
          <w:szCs w:val="22"/>
        </w:rPr>
        <w:t xml:space="preserve">Section 4.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that window, or revisions that exceed the scope of this engagement,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5.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perform the services described in this Agreement, and to respond to Attorney's requests in a timely manner. Delay in providing requested information may delay delivery of the deliverable and, where applicable, may extend USPTO or state filing timelines beyond Attorney's control.</w:t>
      </w:r>
    </w:p>
    <w:p>
      <w:pPr>
        <w:spacing w:after="100" w:before="200"/>
      </w:pPr>
      <w:r>
        <w:rPr>
          <w:rFonts w:ascii="Calibri" w:cs="Calibri" w:eastAsia="Calibri" w:hAnsi="Calibri"/>
          <w:b/>
          <w:bCs/>
          <w:color w:val="1F3050"/>
          <w:sz w:val="22"/>
          <w:szCs w:val="22"/>
        </w:rPr>
        <w:t xml:space="preserve">Section 6.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7.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w:t>
      </w:r>
    </w:p>
    <w:p>
      <w:pPr>
        <w:spacing w:after="100" w:before="200"/>
      </w:pPr>
      <w:r>
        <w:rPr>
          <w:rFonts w:ascii="Calibri" w:cs="Calibri" w:eastAsia="Calibri" w:hAnsi="Calibri"/>
          <w:b/>
          <w:bCs/>
          <w:color w:val="1F3050"/>
          <w:sz w:val="22"/>
          <w:szCs w:val="22"/>
        </w:rPr>
        <w:t xml:space="preserve">Section 8.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Any unearned trust deposit will be refunded to Client following termination.</w:t>
      </w:r>
    </w:p>
    <w:p>
      <w:pPr>
        <w:spacing w:after="100" w:before="200"/>
      </w:pPr>
      <w:r>
        <w:rPr>
          <w:rFonts w:ascii="Calibri" w:cs="Calibri" w:eastAsia="Calibri" w:hAnsi="Calibri"/>
          <w:b/>
          <w:bCs/>
          <w:color w:val="1F3050"/>
          <w:sz w:val="22"/>
          <w:szCs w:val="22"/>
        </w:rPr>
        <w:t xml:space="preserve">Section 9.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10.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11. Governing Law</w:t>
      </w:r>
    </w:p>
    <w:p>
      <w:pPr>
        <w:spacing w:after="60" w:before="100"/>
      </w:pPr>
      <w:r>
        <w:rPr>
          <w:rFonts w:ascii="Calibri" w:cs="Calibri" w:eastAsia="Calibri" w:hAnsi="Calibri"/>
          <w:sz w:val="21"/>
          <w:szCs w:val="21"/>
        </w:rPr>
        <w:t xml:space="preserve">☐  </w:t>
      </w:r>
      <w:r>
        <w:rPr>
          <w:rFonts w:ascii="Calibri" w:cs="Calibri" w:eastAsia="Calibri" w:hAnsi="Calibri"/>
          <w:b w:val="false"/>
          <w:bCs w:val="false"/>
          <w:sz w:val="21"/>
          <w:szCs w:val="21"/>
        </w:rPr>
        <w:t xml:space="preserve">Client's state of residence and governing law for this engagement is Georgia</w:t>
      </w:r>
    </w:p>
    <w:p>
      <w:pPr>
        <w:spacing w:after="60" w:before="100"/>
      </w:pPr>
      <w:r>
        <w:rPr>
          <w:rFonts w:ascii="Calibri" w:cs="Calibri" w:eastAsia="Calibri" w:hAnsi="Calibri"/>
          <w:sz w:val="21"/>
          <w:szCs w:val="21"/>
        </w:rPr>
        <w:t xml:space="preserve">☐  </w:t>
      </w:r>
      <w:r>
        <w:rPr>
          <w:rFonts w:ascii="Calibri" w:cs="Calibri" w:eastAsia="Calibri" w:hAnsi="Calibri"/>
          <w:b w:val="false"/>
          <w:bCs w:val="false"/>
          <w:sz w:val="21"/>
          <w:szCs w:val="21"/>
        </w:rPr>
        <w:t xml:space="preserve">Client's state of residence and governing law for this engagement is Texas</w:t>
      </w:r>
    </w:p>
    <w:p>
      <w:pPr>
        <w:spacing w:after="100" w:before="200"/>
      </w:pPr>
      <w:r>
        <w:rPr>
          <w:rFonts w:ascii="Calibri" w:cs="Calibri" w:eastAsia="Calibri" w:hAnsi="Calibri"/>
          <w:b/>
          <w:bCs/>
          <w:color w:val="1F3050"/>
          <w:sz w:val="22"/>
          <w:szCs w:val="22"/>
        </w:rPr>
        <w:t xml:space="preserve">Section 12.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elected service(s) and fee stated above, and authorizes the payment terms described in this Agreement.</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2026-08-02T16:57:56.275Z</dcterms:created>
  <dcterms:modified xsi:type="dcterms:W3CDTF">2026-08-02T16:57:56.275Z</dcterms:modified>
</cp:coreProperties>
</file>

<file path=docProps/custom.xml><?xml version="1.0" encoding="utf-8"?>
<Properties xmlns="http://schemas.openxmlformats.org/officeDocument/2006/custom-properties" xmlns:vt="http://schemas.openxmlformats.org/officeDocument/2006/docPropsVTypes"/>
</file>