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Estate Planning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individual(s)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prepare a Last Will and Testament for one individual Client, including nomination of an executor, distribution of Client's estate, and, if applicable, nomination of a guardian for minor children. The document will be prepared for execution with the witness and self-proving affidavit formalities required under Client's state of residence.</w:t>
      </w:r>
    </w:p>
    <w:p>
      <w:pPr>
        <w:spacing w:after="140" w:line="276"/>
      </w:pPr>
      <w:r>
        <w:rPr>
          <w:rFonts w:ascii="Calibri" w:cs="Calibri" w:eastAsia="Calibri" w:hAnsi="Calibri"/>
          <w:sz w:val="21"/>
          <w:szCs w:val="21"/>
        </w:rPr>
        <w:t xml:space="preserve">This engagement is limited to the preparation of the specific document(s) identified above, based on the information Client provides. Attorney does not undertake to review Client's existing estate plan, financial accounts, insurance, or tax posture unless separately elected in writing. Attorney provides no opinion or guarantee regarding tax consequences, Medicaid or public benefits eligibility, or asset protection outcomes, and Client is encouraged to consult a qualified tax or financial professional as needed.</w:t>
      </w:r>
    </w:p>
    <w:p>
      <w:pPr>
        <w:spacing w:after="100" w:before="200"/>
      </w:pPr>
      <w:r>
        <w:rPr>
          <w:rFonts w:ascii="Calibri" w:cs="Calibri" w:eastAsia="Calibri" w:hAnsi="Calibri"/>
          <w:b/>
          <w:bCs/>
          <w:color w:val="1F3050"/>
          <w:sz w:val="22"/>
          <w:szCs w:val="22"/>
        </w:rPr>
        <w:t xml:space="preserve">Section 2. Fee and Payment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Service</w:t>
            </w:r>
          </w:p>
        </w:tc>
        <w:tc>
          <w:tcPr>
            <w:tcW w:type="dxa" w:w="3000"/>
            <w:shd w:fill="1F3050" w:val="clear"/>
          </w:tcPr>
          <w:p>
            <w:pPr>
              <w:jc w:val="center"/>
            </w:pPr>
            <w:r>
              <w:rPr>
                <w:rFonts w:ascii="Calibri" w:cs="Calibri" w:eastAsia="Calibri" w:hAnsi="Calibri"/>
                <w:b/>
                <w:bCs/>
                <w:color w:val="FFFFFF"/>
                <w:sz w:val="20"/>
                <w:szCs w:val="20"/>
              </w:rPr>
              <w:t xml:space="preserve">Flat Fee</w:t>
            </w:r>
          </w:p>
        </w:tc>
      </w:tr>
      <w:tr>
        <w:tc>
          <w:tcPr>
            <w:tcW w:type="dxa" w:w="6350"/>
            <w:shd w:fill="FAF7F0" w:val="clear"/>
          </w:tcPr>
          <w:p>
            <w:r>
              <w:rPr>
                <w:rFonts w:ascii="Calibri" w:cs="Calibri" w:eastAsia="Calibri" w:hAnsi="Calibri"/>
                <w:sz w:val="20"/>
                <w:szCs w:val="20"/>
              </w:rPr>
              <w:t xml:space="preserve">Simple Will (Single) - preparation of a Last Will and Testament for one individual</w:t>
            </w:r>
          </w:p>
        </w:tc>
        <w:tc>
          <w:tcPr>
            <w:tcW w:type="dxa" w:w="3000"/>
            <w:shd w:fill="FAF7F0" w:val="clear"/>
          </w:tcPr>
          <w:p>
            <w:pPr>
              <w:jc w:val="center"/>
            </w:pPr>
            <w:r>
              <w:rPr>
                <w:rFonts w:ascii="Calibri" w:cs="Calibri" w:eastAsia="Calibri" w:hAnsi="Calibri"/>
                <w:b/>
                <w:bCs/>
                <w:color w:val="1F3050"/>
                <w:sz w:val="20"/>
                <w:szCs w:val="20"/>
              </w:rPr>
              <w:t xml:space="preserve">$1,250</w:t>
            </w:r>
          </w:p>
        </w:tc>
      </w:tr>
    </w:tbl>
    <w:p>
      <w:pPr>
        <w:spacing w:after="140" w:line="276"/>
      </w:pPr>
      <w:r>
        <w:rPr>
          <w:rFonts w:ascii="Calibri" w:cs="Calibri" w:eastAsia="Calibri" w:hAnsi="Calibri"/>
          <w:sz w:val="21"/>
          <w:szCs w:val="21"/>
        </w:rPr>
        <w:t xml:space="preserve">The above flat fee is due in full at the time Client signs this Agreement, payable through the Firm's online payment portal as part of the checkout process. Advance fees are deposited into the Firm's IOLTA trust account and are not earned by Attorney until the deliverable described in Section 1 is complete and delivered to Client, consistent with the Firm's standard trust accounting practice.</w:t>
      </w:r>
    </w:p>
    <w:p>
      <w:pPr>
        <w:spacing w:after="140" w:line="276"/>
      </w:pPr>
      <w:r>
        <w:rPr>
          <w:rFonts w:ascii="Calibri" w:cs="Calibri" w:eastAsia="Calibri" w:hAnsi="Calibri"/>
          <w:sz w:val="21"/>
          <w:szCs w:val="21"/>
        </w:rPr>
        <w:t xml:space="preserve">This flat fee does not include the recording fee, filing fee, or any other government or third-party cost associated with executing or recording the document(s) prepared under this engagement. Any such cost is Client's separate responsibility and is not included in or covered by the attorney fee stated above.</w:t>
      </w:r>
    </w:p>
    <w:p>
      <w:pPr>
        <w:spacing w:after="100" w:before="200"/>
      </w:pPr>
      <w:r>
        <w:rPr>
          <w:rFonts w:ascii="Calibri" w:cs="Calibri" w:eastAsia="Calibri" w:hAnsi="Calibri"/>
          <w:b/>
          <w:bCs/>
          <w:color w:val="1F3050"/>
          <w:sz w:val="22"/>
          <w:szCs w:val="22"/>
        </w:rPr>
        <w:t xml:space="preserve">Section 3.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the 5 business day window, or revisions that exceed the scope described in Section 1,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4.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prepare the document(s) described in this Agreement, and to respond to Attorney's requests in a timely manner. Delay in providing requested information or in reviewing and executing completed documents may delay delivery of the deliverable.</w:t>
      </w:r>
    </w:p>
    <w:p>
      <w:pPr>
        <w:spacing w:after="100" w:before="200"/>
      </w:pPr>
      <w:r>
        <w:rPr>
          <w:rFonts w:ascii="Calibri" w:cs="Calibri" w:eastAsia="Calibri" w:hAnsi="Calibri"/>
          <w:b/>
          <w:bCs/>
          <w:color w:val="1F3050"/>
          <w:sz w:val="22"/>
          <w:szCs w:val="22"/>
        </w:rPr>
        <w:t xml:space="preserve">Section 5.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6.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 subject to the Joint Representation Disclosure above where applicable.</w:t>
      </w:r>
    </w:p>
    <w:p>
      <w:pPr>
        <w:spacing w:after="100" w:before="200"/>
      </w:pPr>
      <w:r>
        <w:rPr>
          <w:rFonts w:ascii="Calibri" w:cs="Calibri" w:eastAsia="Calibri" w:hAnsi="Calibri"/>
          <w:b/>
          <w:bCs/>
          <w:color w:val="1F3050"/>
          <w:sz w:val="22"/>
          <w:szCs w:val="22"/>
        </w:rPr>
        <w:t xml:space="preserve">Section 7.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If this Agreement is terminated before the deliverable is complete, Attorney will refund any unearned portion of the flat fee based on the work completed as of the termination date.</w:t>
      </w:r>
    </w:p>
    <w:p>
      <w:pPr>
        <w:spacing w:after="100" w:before="200"/>
      </w:pPr>
      <w:r>
        <w:rPr>
          <w:rFonts w:ascii="Calibri" w:cs="Calibri" w:eastAsia="Calibri" w:hAnsi="Calibri"/>
          <w:b/>
          <w:bCs/>
          <w:color w:val="1F3050"/>
          <w:sz w:val="22"/>
          <w:szCs w:val="22"/>
        </w:rPr>
        <w:t xml:space="preserve">Section 8.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9.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10. Governing Law</w:t>
      </w:r>
    </w:p>
    <w:p>
      <w:pPr>
        <w:spacing w:after="140" w:line="276"/>
      </w:pPr>
      <w:r>
        <w:rPr>
          <w:rFonts w:ascii="Calibri" w:cs="Calibri" w:eastAsia="Calibri" w:hAnsi="Calibri"/>
          <w:sz w:val="21"/>
          <w:szCs w:val="21"/>
        </w:rPr>
        <w:t xml:space="preserve">This Agreement is governed by the laws of the state indicated by Client's election below, without regard to conflict of law principles.</w:t>
      </w:r>
    </w:p>
    <w:p>
      <w:pPr>
        <w:spacing w:after="100" w:before="200"/>
      </w:pPr>
      <w:r>
        <w:rPr>
          <w:rFonts w:ascii="Calibri" w:cs="Calibri" w:eastAsia="Calibri" w:hAnsi="Calibri"/>
          <w:b/>
          <w:bCs/>
          <w:color w:val="1F3050"/>
          <w:sz w:val="22"/>
          <w:szCs w:val="22"/>
        </w:rPr>
        <w:t xml:space="preserve">Section 11.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Georgia</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flat fee stated in Section 2, and authorizes payment in full through the Firm's payment portal at the time of signing.</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2026-08-02T16:47:23.089Z</dcterms:created>
  <dcterms:modified xsi:type="dcterms:W3CDTF">2026-08-02T16:47:23.121Z</dcterms:modified>
</cp:coreProperties>
</file>

<file path=docProps/custom.xml><?xml version="1.0" encoding="utf-8"?>
<Properties xmlns="http://schemas.openxmlformats.org/officeDocument/2006/custom-properties" xmlns:vt="http://schemas.openxmlformats.org/officeDocument/2006/docPropsVTypes"/>
</file>