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Trademark Engagement Agreement — File and Protect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conduct a USPTO and common law clearance search for one mark, prepare a written clearance opinion assessing registrability and conflict risk, and prepare and file a trademark application for that mark, together with a 30-minute legal strategy call. This engagement covers one mark only. It does not include response to any USPTO office action; office action response is available as a separately elected service.</w:t>
      </w:r>
    </w:p>
    <w:p>
      <w:pPr>
        <w:spacing w:after="100" w:before="200"/>
      </w:pPr>
      <w:r>
        <w:rPr>
          <w:rFonts w:ascii="Calibri" w:cs="Calibri" w:eastAsia="Calibri" w:hAnsi="Calibri"/>
          <w:b/>
          <w:bCs/>
          <w:color w:val="1F3050"/>
          <w:sz w:val="22"/>
          <w:szCs w:val="22"/>
        </w:rPr>
        <w:t xml:space="preserve">Section 2. Mark Election</w:t>
      </w:r>
    </w:p>
    <w:p>
      <w:pPr>
        <w:spacing w:after="140" w:line="276"/>
      </w:pPr>
      <w:r>
        <w:rPr>
          <w:rFonts w:ascii="Calibri" w:cs="Calibri" w:eastAsia="Calibri" w:hAnsi="Calibri"/>
          <w:sz w:val="21"/>
          <w:szCs w:val="21"/>
        </w:rPr>
        <w:t xml:space="preserve">This Agreement covers one (1) mark only. If Client is seeking protection for more than one mark, including a word or standard character mark and a separate design or logo mark, a separate signed engagement agreement and separate fee are required for each mark, even if the marks are related or filed at the same time.</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Word / standard character mark</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Design / logo mark</w:t>
      </w:r>
    </w:p>
    <w:p>
      <w:pPr>
        <w:spacing w:after="140" w:line="276"/>
      </w:pPr>
      <w:r>
        <w:rPr>
          <w:rFonts w:ascii="Calibri" w:cs="Calibri" w:eastAsia="Calibri" w:hAnsi="Calibri"/>
          <w:sz w:val="21"/>
          <w:szCs w:val="21"/>
        </w:rPr>
        <w:t xml:space="preserve">Mark: ______________________________          Number of classes: _______</w:t>
      </w:r>
    </w:p>
    <w:p>
      <w:pPr>
        <w:spacing w:after="140" w:line="276"/>
      </w:pPr>
      <w:r>
        <w:rPr>
          <w:rFonts w:ascii="Calibri" w:cs="Calibri" w:eastAsia="Calibri" w:hAnsi="Calibri"/>
          <w:i/>
          <w:iCs/>
          <w:color w:val="555555"/>
          <w:sz w:val="19"/>
          <w:szCs w:val="19"/>
        </w:rPr>
        <w:t xml:space="preserve">Client may include as many classes of goods or services as Client elects. The attorney fee stated in Section 3 does not change based on the number of classes filed; Client is responsible only for the USPTO's separate filing fee of $350 per class, paid directly to the USPTO.</w:t>
      </w:r>
    </w:p>
    <w:p>
      <w:pPr>
        <w:spacing w:after="100" w:before="200"/>
      </w:pPr>
      <w:r>
        <w:rPr>
          <w:rFonts w:ascii="Calibri" w:cs="Calibri" w:eastAsia="Calibri" w:hAnsi="Calibri"/>
          <w:b/>
          <w:bCs/>
          <w:color w:val="1F3050"/>
          <w:sz w:val="22"/>
          <w:szCs w:val="22"/>
        </w:rPr>
        <w:t xml:space="preserve">Section 3. Fee and Payment</w:t>
      </w:r>
    </w:p>
    <w:p>
      <w:pPr>
        <w:spacing w:after="140" w:line="276"/>
      </w:pPr>
      <w:r>
        <w:rPr>
          <w:rFonts w:ascii="Calibri" w:cs="Calibri" w:eastAsia="Calibri" w:hAnsi="Calibri"/>
          <w:sz w:val="21"/>
          <w:szCs w:val="21"/>
        </w:rPr>
        <w:t xml:space="preserve">The flat fee for the File and Protect tier is $1,100 + USPTO fees, regardless of the number of classes Client elects to include in the application. This fee does not include the USPTO filing fee of $350 per class, which is a separate government cost paid directly to the USPTO and is entirely separate from and not included in the attorney fee.</w:t>
      </w:r>
    </w:p>
    <w:p>
      <w:pPr>
        <w:spacing w:after="140" w:line="276"/>
      </w:pPr>
      <w:r>
        <w:rPr>
          <w:rFonts w:ascii="Calibri" w:cs="Calibri" w:eastAsia="Calibri" w:hAnsi="Calibri"/>
          <w:sz w:val="21"/>
          <w:szCs w:val="21"/>
        </w:rPr>
        <w:t xml:space="preserve">The total fee is due in full at the time Client signs this Agreement, payable through the Firm's online payment portal. Advance fees are deposited into Attorney's IOLTA trust account and are not earned by Attorney until the trademark application is filed with the USPTO, consistent with Attorney's standard trust accounting practice.</w:t>
      </w:r>
    </w:p>
    <w:p>
      <w:pPr>
        <w:spacing w:after="140" w:line="276"/>
      </w:pPr>
      <w:r>
        <w:rPr>
          <w:rFonts w:ascii="Calibri" w:cs="Calibri" w:eastAsia="Calibri" w:hAnsi="Calibri"/>
          <w:sz w:val="21"/>
          <w:szCs w:val="21"/>
        </w:rPr>
        <w:t xml:space="preserve">If Client wishes to pay in installments rather than in full at signing, Client may request an installment payment plan before signing. Any installment plan must be set up through Attorney's practice management system and requires a saved payment method on file. Amounts collected under an installment plan remain unearned advance fees held in trust until the applicable deliverable is complete, regardless of the collection schedule, and installment payments do not begin the engagement or reserve Attorney's services until the plan is approved and the first payment is processed.</w:t>
      </w:r>
    </w:p>
    <w:p>
      <w:pPr>
        <w:spacing w:after="140" w:line="276"/>
      </w:pPr>
      <w:r>
        <w:rPr>
          <w:rFonts w:ascii="Calibri" w:cs="Calibri" w:eastAsia="Calibri" w:hAnsi="Calibri"/>
          <w:sz w:val="21"/>
          <w:szCs w:val="21"/>
        </w:rPr>
        <w:t xml:space="preserve">Invoices for any out-of-scope work billed under this Agreement, including any response to a USPTO office action, are due within 7 days of the invoice date. Client authorizes automatic billing of any card or payment method on file for amounts due under this Agreement. Where no card is on file, unpaid balances accrue a late fee of 1.5% per month (18% per annum maximum). Attorney reserves the right to suspend services for any account with an unpaid balance more than 30 days past due.</w:t>
      </w:r>
    </w:p>
    <w:p>
      <w:pPr>
        <w:spacing w:after="100" w:before="200"/>
      </w:pPr>
      <w:r>
        <w:rPr>
          <w:rFonts w:ascii="Calibri" w:cs="Calibri" w:eastAsia="Calibri" w:hAnsi="Calibri"/>
          <w:b/>
          <w:bCs/>
          <w:color w:val="1F3050"/>
          <w:sz w:val="22"/>
          <w:szCs w:val="22"/>
        </w:rPr>
        <w:t xml:space="preserve">Section 4. Registration Timeline and Process Overview</w:t>
      </w:r>
    </w:p>
    <w:p>
      <w:pPr>
        <w:spacing w:after="140" w:line="276"/>
      </w:pPr>
      <w:r>
        <w:rPr>
          <w:rFonts w:ascii="Calibri" w:cs="Calibri" w:eastAsia="Calibri" w:hAnsi="Calibri"/>
          <w:sz w:val="21"/>
          <w:szCs w:val="21"/>
        </w:rPr>
        <w:t xml:space="preserve">The following is a general overview of the USPTO trademark process and current average processing times, based on USPTO's published performance data. These figures are USPTO-wide averages, not a guarantee for Client's specific application, and supersede any timeframe discussed during intake or consultation.</w:t>
      </w:r>
    </w:p>
    <w:p>
      <w:pPr>
        <w:pStyle w:val="ListParagraph"/>
        <w:numPr>
          <w:ilvl w:val="0"/>
          <w:numId w:val="1"/>
        </w:numPr>
        <w:spacing w:after="60"/>
      </w:pPr>
      <w:r>
        <w:rPr>
          <w:rFonts w:ascii="Calibri" w:cs="Calibri" w:eastAsia="Calibri" w:hAnsi="Calibri"/>
          <w:sz w:val="21"/>
          <w:szCs w:val="21"/>
        </w:rPr>
        <w:t xml:space="preserve">Filing: the application is submitted to the USPTO and assigned a serial number.</w:t>
      </w:r>
    </w:p>
    <w:p>
      <w:pPr>
        <w:pStyle w:val="ListParagraph"/>
        <w:numPr>
          <w:ilvl w:val="0"/>
          <w:numId w:val="1"/>
        </w:numPr>
        <w:spacing w:after="60"/>
      </w:pPr>
      <w:r>
        <w:rPr>
          <w:rFonts w:ascii="Calibri" w:cs="Calibri" w:eastAsia="Calibri" w:hAnsi="Calibri"/>
          <w:sz w:val="21"/>
          <w:szCs w:val="21"/>
        </w:rPr>
        <w:t xml:space="preserve">Examination / First Office Action: an examining attorney reviews the application for compliance with federal law. USPTO's target for the current fiscal year is approximately 5 months from filing, with a long-term USPTO goal of 4.5 months.</w:t>
      </w:r>
    </w:p>
    <w:p>
      <w:pPr>
        <w:pStyle w:val="ListParagraph"/>
        <w:numPr>
          <w:ilvl w:val="0"/>
          <w:numId w:val="1"/>
        </w:numPr>
        <w:spacing w:after="60"/>
      </w:pPr>
      <w:r>
        <w:rPr>
          <w:rFonts w:ascii="Calibri" w:cs="Calibri" w:eastAsia="Calibri" w:hAnsi="Calibri"/>
          <w:sz w:val="21"/>
          <w:szCs w:val="21"/>
        </w:rPr>
        <w:t xml:space="preserve">Office Action Response: if an office action issues, Client has 3 months to respond, with one available 3-month extension.</w:t>
      </w:r>
    </w:p>
    <w:p>
      <w:pPr>
        <w:pStyle w:val="ListParagraph"/>
        <w:numPr>
          <w:ilvl w:val="0"/>
          <w:numId w:val="1"/>
        </w:numPr>
        <w:spacing w:after="60"/>
      </w:pPr>
      <w:r>
        <w:rPr>
          <w:rFonts w:ascii="Calibri" w:cs="Calibri" w:eastAsia="Calibri" w:hAnsi="Calibri"/>
          <w:sz w:val="21"/>
          <w:szCs w:val="21"/>
        </w:rPr>
        <w:t xml:space="preserve">Publication for Opposition: an approved application is published for a 30-day period during which third parties may oppose registration.</w:t>
      </w:r>
    </w:p>
    <w:p>
      <w:pPr>
        <w:pStyle w:val="ListParagraph"/>
        <w:numPr>
          <w:ilvl w:val="0"/>
          <w:numId w:val="1"/>
        </w:numPr>
        <w:spacing w:after="60"/>
      </w:pPr>
      <w:r>
        <w:rPr>
          <w:rFonts w:ascii="Calibri" w:cs="Calibri" w:eastAsia="Calibri" w:hAnsi="Calibri"/>
          <w:sz w:val="21"/>
          <w:szCs w:val="21"/>
        </w:rPr>
        <w:t xml:space="preserve">Notice of Allowance and Statement of Use (intent-to-use applications only): if the mark is not yet in use in commerce, USPTO issues a Notice of Allowance, and Client then has 6 months to file a Statement of Use, with extensions available. Initial Statement of Use processing targets 15 business days, with registration typically issuing approximately 4 months after the Statement of Use is filed.</w:t>
      </w:r>
    </w:p>
    <w:p>
      <w:pPr>
        <w:pStyle w:val="ListParagraph"/>
        <w:numPr>
          <w:ilvl w:val="0"/>
          <w:numId w:val="1"/>
        </w:numPr>
        <w:spacing w:after="60"/>
      </w:pPr>
      <w:r>
        <w:rPr>
          <w:rFonts w:ascii="Calibri" w:cs="Calibri" w:eastAsia="Calibri" w:hAnsi="Calibri"/>
          <w:sz w:val="21"/>
          <w:szCs w:val="21"/>
        </w:rPr>
        <w:t xml:space="preserve">Registration: if no opposition is filed and all requirements are met, USPTO issues a certificate of registration.</w:t>
      </w:r>
    </w:p>
    <w:p>
      <w:pPr>
        <w:pStyle w:val="ListParagraph"/>
        <w:numPr>
          <w:ilvl w:val="0"/>
          <w:numId w:val="1"/>
        </w:numPr>
        <w:spacing w:after="60"/>
      </w:pPr>
      <w:r>
        <w:rPr>
          <w:rFonts w:ascii="Calibri" w:cs="Calibri" w:eastAsia="Calibri" w:hAnsi="Calibri"/>
          <w:sz w:val="21"/>
          <w:szCs w:val="21"/>
        </w:rPr>
        <w:t xml:space="preserve">Total Average Timeline: USPTO's overall target for total pendency to registration, abandonment, or notice of allowance, including applications that were suspended or involved in Trademark Trial and Appeal Board proceedings, is approximately 14 months on average for the current fiscal year.</w:t>
      </w:r>
    </w:p>
    <w:p>
      <w:pPr>
        <w:spacing w:after="140" w:line="276"/>
      </w:pPr>
      <w:r>
        <w:rPr>
          <w:rFonts w:ascii="Calibri" w:cs="Calibri" w:eastAsia="Calibri" w:hAnsi="Calibri"/>
          <w:i/>
          <w:iCs/>
          <w:color w:val="555555"/>
          <w:sz w:val="19"/>
          <w:szCs w:val="19"/>
        </w:rPr>
        <w:t xml:space="preserve">These figures are subject to change based on USPTO workload, the nature of the mark, and whether office actions or oppositions arise. Attorney makes no guarantee of registration or of any particular timeframe.</w:t>
      </w:r>
    </w:p>
    <w:p>
      <w:pPr>
        <w:spacing w:after="100" w:before="200"/>
      </w:pPr>
      <w:r>
        <w:rPr>
          <w:rFonts w:ascii="Calibri" w:cs="Calibri" w:eastAsia="Calibri" w:hAnsi="Calibri"/>
          <w:b/>
          <w:bCs/>
          <w:color w:val="1F3050"/>
          <w:sz w:val="22"/>
          <w:szCs w:val="22"/>
        </w:rPr>
        <w:t xml:space="preserve">Section 5.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that window, or revisions that exceed the scope of this engagement,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6.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perform the services described in this Agreement, and to respond to Attorney's requests in a timely manner. Delay in providing requested information may delay delivery of the deliverable and, where applicable, may extend USPTO or state filing timelines beyond Attorney's control.</w:t>
      </w:r>
    </w:p>
    <w:p>
      <w:pPr>
        <w:spacing w:after="100" w:before="200"/>
      </w:pPr>
      <w:r>
        <w:rPr>
          <w:rFonts w:ascii="Calibri" w:cs="Calibri" w:eastAsia="Calibri" w:hAnsi="Calibri"/>
          <w:b/>
          <w:bCs/>
          <w:color w:val="1F3050"/>
          <w:sz w:val="22"/>
          <w:szCs w:val="22"/>
        </w:rPr>
        <w:t xml:space="preserve">Section 7.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8.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w:t>
      </w:r>
    </w:p>
    <w:p>
      <w:pPr>
        <w:spacing w:after="100" w:before="200"/>
      </w:pPr>
      <w:r>
        <w:rPr>
          <w:rFonts w:ascii="Calibri" w:cs="Calibri" w:eastAsia="Calibri" w:hAnsi="Calibri"/>
          <w:b/>
          <w:bCs/>
          <w:color w:val="1F3050"/>
          <w:sz w:val="22"/>
          <w:szCs w:val="22"/>
        </w:rPr>
        <w:t xml:space="preserve">Section 9.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Any unearned trust deposit will be refunded to Client following termination.</w:t>
      </w:r>
    </w:p>
    <w:p>
      <w:pPr>
        <w:spacing w:after="100" w:before="200"/>
      </w:pPr>
      <w:r>
        <w:rPr>
          <w:rFonts w:ascii="Calibri" w:cs="Calibri" w:eastAsia="Calibri" w:hAnsi="Calibri"/>
          <w:b/>
          <w:bCs/>
          <w:color w:val="1F3050"/>
          <w:sz w:val="22"/>
          <w:szCs w:val="22"/>
        </w:rPr>
        <w:t xml:space="preserve">Section 10.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11.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12. Governing Law</w:t>
      </w:r>
    </w:p>
    <w:p>
      <w:pPr>
        <w:spacing w:after="140" w:line="276"/>
      </w:pPr>
      <w:r>
        <w:rPr>
          <w:rFonts w:ascii="Calibri" w:cs="Calibri" w:eastAsia="Calibri" w:hAnsi="Calibri"/>
          <w:sz w:val="21"/>
          <w:szCs w:val="21"/>
        </w:rPr>
        <w:t xml:space="preserve">This Agreement, and the underlying engagement, are governed by the laws of the State of Texas, without regard to conflict of law principles. Prosecution of the trademark application itself is governed exclusively by federal law and the rules of the United States Patent and Trademark Office.</w:t>
      </w:r>
    </w:p>
    <w:p>
      <w:pPr>
        <w:spacing w:after="100" w:before="200"/>
      </w:pPr>
      <w:r>
        <w:rPr>
          <w:rFonts w:ascii="Calibri" w:cs="Calibri" w:eastAsia="Calibri" w:hAnsi="Calibri"/>
          <w:b/>
          <w:bCs/>
          <w:color w:val="1F3050"/>
          <w:sz w:val="22"/>
          <w:szCs w:val="22"/>
        </w:rPr>
        <w:t xml:space="preserve">Section 13.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elected service(s) and fee stated above, and authorizes the payment terms described in this Agreement.</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2026-08-02T17:03:53.847Z</dcterms:created>
  <dcterms:modified xsi:type="dcterms:W3CDTF">2026-08-02T17:03:53.847Z</dcterms:modified>
</cp:coreProperties>
</file>

<file path=docProps/custom.xml><?xml version="1.0" encoding="utf-8"?>
<Properties xmlns="http://schemas.openxmlformats.org/officeDocument/2006/custom-properties" xmlns:vt="http://schemas.openxmlformats.org/officeDocument/2006/docPropsVTypes"/>
</file>