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an Enhanced Life Estate Deed (commonly known as a Ladybird Deed) conveying one parcel of Texas real property, reserving to Client a life estate with the power to sell, convey, mortgage, or otherwise dispose of the property during Client's lifetime without the consent of the remainder beneficiary. This engagement does not include a title search or title opinion unless separately elected in writing.</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Ladybird Deed (Enhanced Life Estate Deed) - one parcel of Texas real property</w:t>
            </w:r>
          </w:p>
        </w:tc>
        <w:tc>
          <w:tcPr>
            <w:tcW w:type="dxa" w:w="3000"/>
            <w:shd w:fill="FAF7F0" w:val="clear"/>
          </w:tcPr>
          <w:p>
            <w:pPr>
              <w:jc w:val="center"/>
            </w:pPr>
            <w:r>
              <w:rPr>
                <w:rFonts w:ascii="Calibri" w:cs="Calibri" w:eastAsia="Calibri" w:hAnsi="Calibri"/>
                <w:b/>
                <w:bCs/>
                <w:color w:val="1F3050"/>
                <w:sz w:val="20"/>
                <w:szCs w:val="20"/>
              </w:rPr>
              <w:t xml:space="preserve">$750</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not earned by Attorney until the deliverable described in Section 1 is complete and delivered to Client,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4.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5.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6.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7.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8.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9.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10.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11.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40" w:line="276"/>
      </w:pPr>
      <w:r>
        <w:rPr>
          <w:rFonts w:ascii="Calibri" w:cs="Calibri" w:eastAsia="Calibri" w:hAnsi="Calibri"/>
          <w:sz w:val="21"/>
          <w:szCs w:val="21"/>
        </w:rPr>
        <w:t xml:space="preserve">This engagement covers real property located in the State of Texas only. Attorney does not prepare this instrument for real property located in Georgia, as Georgia law does not recognize or authorize this form of conveyance.</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2026-08-02T16:47:24.116Z</dcterms:created>
  <dcterms:modified xsi:type="dcterms:W3CDTF">2026-08-02T16:47:24.116Z</dcterms:modified>
</cp:coreProperties>
</file>

<file path=docProps/custom.xml><?xml version="1.0" encoding="utf-8"?>
<Properties xmlns="http://schemas.openxmlformats.org/officeDocument/2006/custom-properties" xmlns:vt="http://schemas.openxmlformats.org/officeDocument/2006/docPropsVTypes"/>
</file>