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 Statutory Durable Power of Attorney for financial and property matters for one individual Client, prepared for execution with the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Durable Power of Attorney (Single) - financial and property matters</w:t>
            </w:r>
          </w:p>
        </w:tc>
        <w:tc>
          <w:tcPr>
            <w:tcW w:type="dxa" w:w="3000"/>
            <w:shd w:fill="FAF7F0" w:val="clear"/>
          </w:tcPr>
          <w:p>
            <w:pPr>
              <w:jc w:val="center"/>
            </w:pPr>
            <w:r>
              <w:rPr>
                <w:rFonts w:ascii="Calibri" w:cs="Calibri" w:eastAsia="Calibri" w:hAnsi="Calibri"/>
                <w:b/>
                <w:bCs/>
                <w:color w:val="1F3050"/>
                <w:sz w:val="20"/>
                <w:szCs w:val="20"/>
              </w:rPr>
              <w:t xml:space="preserve">$275</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not earned by Attorney until the deliverable described in Section 1 is complete and delivered to Client,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4.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5.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6.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7.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8.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9.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10.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11.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2026-08-02T16:47:24.219Z</dcterms:created>
  <dcterms:modified xsi:type="dcterms:W3CDTF">2026-08-02T16:47:24.219Z</dcterms:modified>
</cp:coreProperties>
</file>

<file path=docProps/custom.xml><?xml version="1.0" encoding="utf-8"?>
<Properties xmlns="http://schemas.openxmlformats.org/officeDocument/2006/custom-properties" xmlns:vt="http://schemas.openxmlformats.org/officeDocument/2006/docPropsVTypes"/>
</file>