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crt-cloud-org-configuration"/>
    <w:p>
      <w:pPr>
        <w:pStyle w:val="Heading1"/>
      </w:pPr>
      <w:r>
        <w:t xml:space="preserve">ICRT Cloud Org Configuration</w:t>
      </w:r>
    </w:p>
    <w:bookmarkEnd w:id="21"/>
    <w:p>
      <w:pPr>
        <w:pStyle w:val="Compact"/>
        <w:numPr>
          <w:numId w:val="2"/>
          <w:ilvl w:val="0"/>
        </w:numPr>
      </w:pPr>
      <w:hyperlink w:anchor="environments">
        <w:r>
          <w:rPr>
            <w:rStyle w:val="Link"/>
          </w:rPr>
          <w:t xml:space="preserve">Environments</w:t>
        </w:r>
      </w:hyperlink>
    </w:p>
    <w:p>
      <w:pPr>
        <w:pStyle w:val="Compact"/>
        <w:numPr>
          <w:numId w:val="3"/>
          <w:ilvl w:val="1"/>
        </w:numPr>
      </w:pPr>
      <w:hyperlink w:anchor="dev">
        <w:r>
          <w:rPr>
            <w:rStyle w:val="Link"/>
          </w:rPr>
          <w:t xml:space="preserve">DEV</w:t>
        </w:r>
      </w:hyperlink>
    </w:p>
    <w:p>
      <w:pPr>
        <w:pStyle w:val="Compact"/>
        <w:numPr>
          <w:numId w:val="4"/>
          <w:ilvl w:val="2"/>
        </w:numPr>
      </w:pPr>
      <w:hyperlink w:anchor="dev-agents">
        <w:r>
          <w:rPr>
            <w:rStyle w:val="Link"/>
          </w:rPr>
          <w:t xml:space="preserve">DEV Agents</w:t>
        </w:r>
      </w:hyperlink>
    </w:p>
    <w:p>
      <w:pPr>
        <w:pStyle w:val="Compact"/>
        <w:numPr>
          <w:numId w:val="3"/>
          <w:ilvl w:val="1"/>
        </w:numPr>
      </w:pPr>
      <w:hyperlink w:anchor="qa">
        <w:r>
          <w:rPr>
            <w:rStyle w:val="Link"/>
          </w:rPr>
          <w:t xml:space="preserve">QA</w:t>
        </w:r>
      </w:hyperlink>
    </w:p>
    <w:p>
      <w:pPr>
        <w:pStyle w:val="Compact"/>
        <w:numPr>
          <w:numId w:val="5"/>
          <w:ilvl w:val="2"/>
        </w:numPr>
      </w:pPr>
      <w:hyperlink w:anchor="qa-agents">
        <w:r>
          <w:rPr>
            <w:rStyle w:val="Link"/>
          </w:rPr>
          <w:t xml:space="preserve">QA Agents</w:t>
        </w:r>
      </w:hyperlink>
    </w:p>
    <w:p>
      <w:pPr>
        <w:pStyle w:val="Compact"/>
        <w:numPr>
          <w:numId w:val="3"/>
          <w:ilvl w:val="1"/>
        </w:numPr>
      </w:pPr>
      <w:hyperlink w:anchor="prod">
        <w:r>
          <w:rPr>
            <w:rStyle w:val="Link"/>
          </w:rPr>
          <w:t xml:space="preserve">PROD</w:t>
        </w:r>
      </w:hyperlink>
    </w:p>
    <w:p>
      <w:pPr>
        <w:pStyle w:val="Compact"/>
        <w:numPr>
          <w:numId w:val="6"/>
          <w:ilvl w:val="2"/>
        </w:numPr>
      </w:pPr>
      <w:hyperlink w:anchor="prod-agents">
        <w:r>
          <w:rPr>
            <w:rStyle w:val="Link"/>
          </w:rPr>
          <w:t xml:space="preserve">Prod Agents</w:t>
        </w:r>
      </w:hyperlink>
    </w:p>
    <w:p>
      <w:pPr>
        <w:pStyle w:val="Compact"/>
        <w:numPr>
          <w:numId w:val="2"/>
          <w:ilvl w:val="0"/>
        </w:numPr>
      </w:pPr>
      <w:hyperlink w:anchor="directories">
        <w:r>
          <w:rPr>
            <w:rStyle w:val="Link"/>
          </w:rPr>
          <w:t xml:space="preserve">Directories</w:t>
        </w:r>
      </w:hyperlink>
    </w:p>
    <w:p>
      <w:pPr>
        <w:pStyle w:val="Compact"/>
        <w:numPr>
          <w:numId w:val="2"/>
          <w:ilvl w:val="0"/>
        </w:numPr>
      </w:pPr>
      <w:hyperlink w:anchor="extension-files-and-external-libraries">
        <w:r>
          <w:rPr>
            <w:rStyle w:val="Link"/>
          </w:rPr>
          <w:t xml:space="preserve">Extension Files and External Libraries</w:t>
        </w:r>
      </w:hyperlink>
    </w:p>
    <w:p>
      <w:pPr>
        <w:pStyle w:val="Compact"/>
        <w:numPr>
          <w:numId w:val="7"/>
          <w:ilvl w:val="1"/>
        </w:numPr>
      </w:pPr>
      <w:hyperlink w:anchor="extensions-dev">
        <w:r>
          <w:rPr>
            <w:rStyle w:val="Link"/>
          </w:rPr>
          <w:t xml:space="preserve">Extensions DEV</w:t>
        </w:r>
      </w:hyperlink>
    </w:p>
    <w:p>
      <w:pPr>
        <w:pStyle w:val="Compact"/>
        <w:numPr>
          <w:numId w:val="8"/>
          <w:ilvl w:val="2"/>
        </w:numPr>
      </w:pPr>
      <w:hyperlink w:anchor="synchronize-agent-config-and-external-libraries-to-another-server">
        <w:r>
          <w:rPr>
            <w:rStyle w:val="Link"/>
          </w:rPr>
          <w:t xml:space="preserve">Synchronize Agent Config and external libraries to another server</w:t>
        </w:r>
      </w:hyperlink>
    </w:p>
    <w:p>
      <w:pPr>
        <w:pStyle w:val="Compact"/>
        <w:numPr>
          <w:numId w:val="7"/>
          <w:ilvl w:val="1"/>
        </w:numPr>
      </w:pPr>
      <w:hyperlink w:anchor="create-data-staging-directories">
        <w:r>
          <w:rPr>
            <w:rStyle w:val="Link"/>
          </w:rPr>
          <w:t xml:space="preserve">Create Data Staging Directories</w:t>
        </w:r>
      </w:hyperlink>
    </w:p>
    <w:p>
      <w:pPr>
        <w:pStyle w:val="Compact"/>
        <w:numPr>
          <w:numId w:val="7"/>
          <w:ilvl w:val="1"/>
        </w:numPr>
      </w:pPr>
      <w:hyperlink w:anchor="urn-mappings">
        <w:r>
          <w:rPr>
            <w:rStyle w:val="Link"/>
          </w:rPr>
          <w:t xml:space="preserve">URN Mappings</w:t>
        </w:r>
      </w:hyperlink>
    </w:p>
    <w:p>
      <w:pPr>
        <w:pStyle w:val="Compact"/>
        <w:numPr>
          <w:numId w:val="9"/>
          <w:ilvl w:val="2"/>
        </w:numPr>
      </w:pPr>
      <w:hyperlink w:anchor="cloud-server-dev">
        <w:r>
          <w:rPr>
            <w:rStyle w:val="Link"/>
          </w:rPr>
          <w:t xml:space="preserve">Cloud Server DEV</w:t>
        </w:r>
      </w:hyperlink>
    </w:p>
    <w:p>
      <w:pPr>
        <w:pStyle w:val="Compact"/>
        <w:numPr>
          <w:numId w:val="10"/>
          <w:ilvl w:val="3"/>
        </w:numPr>
      </w:pPr>
      <w:hyperlink w:anchor="cloud-server-qa">
        <w:r>
          <w:rPr>
            <w:rStyle w:val="Link"/>
          </w:rPr>
          <w:t xml:space="preserve">Cloud Server QA</w:t>
        </w:r>
      </w:hyperlink>
    </w:p>
    <w:p>
      <w:pPr>
        <w:pStyle w:val="Compact"/>
        <w:numPr>
          <w:numId w:val="10"/>
          <w:ilvl w:val="3"/>
        </w:numPr>
      </w:pPr>
      <w:hyperlink w:anchor="cloud-server-prod">
        <w:r>
          <w:rPr>
            <w:rStyle w:val="Link"/>
          </w:rPr>
          <w:t xml:space="preserve">Cloud Server PROD</w:t>
        </w:r>
      </w:hyperlink>
    </w:p>
    <w:p>
      <w:pPr>
        <w:pStyle w:val="Compact"/>
        <w:numPr>
          <w:numId w:val="9"/>
          <w:ilvl w:val="2"/>
        </w:numPr>
      </w:pPr>
      <w:hyperlink w:anchor="agents-dev">
        <w:r>
          <w:rPr>
            <w:rStyle w:val="Link"/>
          </w:rPr>
          <w:t xml:space="preserve">Agents DEV</w:t>
        </w:r>
      </w:hyperlink>
    </w:p>
    <w:p>
      <w:pPr>
        <w:pStyle w:val="Compact"/>
        <w:numPr>
          <w:numId w:val="11"/>
          <w:ilvl w:val="3"/>
        </w:numPr>
      </w:pPr>
      <w:hyperlink w:anchor="agents-qa">
        <w:r>
          <w:rPr>
            <w:rStyle w:val="Link"/>
          </w:rPr>
          <w:t xml:space="preserve">Agents QA</w:t>
        </w:r>
      </w:hyperlink>
    </w:p>
    <w:p>
      <w:pPr>
        <w:pStyle w:val="Compact"/>
        <w:numPr>
          <w:numId w:val="11"/>
          <w:ilvl w:val="3"/>
        </w:numPr>
      </w:pPr>
      <w:hyperlink w:anchor="agents-prod">
        <w:r>
          <w:rPr>
            <w:rStyle w:val="Link"/>
          </w:rPr>
          <w:t xml:space="preserve">Agents PROD</w:t>
        </w:r>
      </w:hyperlink>
    </w:p>
    <w:p>
      <w:pPr>
        <w:pStyle w:val="Compact"/>
        <w:numPr>
          <w:numId w:val="2"/>
          <w:ilvl w:val="0"/>
        </w:numPr>
      </w:pPr>
      <w:hyperlink w:anchor="process-engine-alerting">
        <w:r>
          <w:rPr>
            <w:rStyle w:val="Link"/>
          </w:rPr>
          <w:t xml:space="preserve">Process Engine Alerting</w:t>
        </w:r>
      </w:hyperlink>
    </w:p>
    <w:p>
      <w:pPr>
        <w:pStyle w:val="Compact"/>
        <w:numPr>
          <w:numId w:val="12"/>
          <w:ilvl w:val="1"/>
        </w:numPr>
      </w:pPr>
      <w:hyperlink w:anchor="qa-1">
        <w:r>
          <w:rPr>
            <w:rStyle w:val="Link"/>
          </w:rPr>
          <w:t xml:space="preserve">QA</w:t>
        </w:r>
      </w:hyperlink>
    </w:p>
    <w:p>
      <w:pPr>
        <w:pStyle w:val="Compact"/>
        <w:numPr>
          <w:numId w:val="13"/>
          <w:ilvl w:val="2"/>
        </w:numPr>
      </w:pPr>
      <w:hyperlink w:anchor="icrt-email-service">
        <w:r>
          <w:rPr>
            <w:rStyle w:val="Link"/>
          </w:rPr>
          <w:t xml:space="preserve">ICRT Email Service</w:t>
        </w:r>
      </w:hyperlink>
    </w:p>
    <w:p>
      <w:pPr>
        <w:pStyle w:val="Compact"/>
        <w:numPr>
          <w:numId w:val="13"/>
          <w:ilvl w:val="2"/>
        </w:numPr>
      </w:pPr>
      <w:hyperlink w:anchor="icrt-fault-alert-service">
        <w:r>
          <w:rPr>
            <w:rStyle w:val="Link"/>
          </w:rPr>
          <w:t xml:space="preserve">ICRT Fault Alert Service</w:t>
        </w:r>
      </w:hyperlink>
    </w:p>
    <w:p>
      <w:pPr>
        <w:pStyle w:val="Compact"/>
        <w:numPr>
          <w:numId w:val="13"/>
          <w:ilvl w:val="2"/>
        </w:numPr>
      </w:pPr>
      <w:hyperlink w:anchor="icrt-monitoring-alert-service">
        <w:r>
          <w:rPr>
            <w:rStyle w:val="Link"/>
          </w:rPr>
          <w:t xml:space="preserve">ICRT Monitoring Alert Service</w:t>
        </w:r>
      </w:hyperlink>
    </w:p>
    <w:p>
      <w:pPr>
        <w:pStyle w:val="Compact"/>
        <w:numPr>
          <w:numId w:val="12"/>
          <w:ilvl w:val="1"/>
        </w:numPr>
      </w:pPr>
      <w:hyperlink w:anchor="icrt-monitoring-thresholds-agents-only">
        <w:r>
          <w:rPr>
            <w:rStyle w:val="Link"/>
          </w:rPr>
          <w:t xml:space="preserve">ICRT Monitoring Thresholds (Agents Only)</w:t>
        </w:r>
      </w:hyperlink>
    </w:p>
    <w:p>
      <w:pPr>
        <w:pStyle w:val="Compact"/>
        <w:numPr>
          <w:numId w:val="2"/>
          <w:ilvl w:val="0"/>
        </w:numPr>
      </w:pPr>
      <w:hyperlink w:anchor="ics-email-notifications">
        <w:r>
          <w:rPr>
            <w:rStyle w:val="Link"/>
          </w:rPr>
          <w:t xml:space="preserve">ICS Email Notifications</w:t>
        </w:r>
      </w:hyperlink>
    </w:p>
    <w:p>
      <w:pPr>
        <w:pStyle w:val="Compact"/>
        <w:numPr>
          <w:numId w:val="14"/>
          <w:ilvl w:val="1"/>
        </w:numPr>
      </w:pPr>
      <w:hyperlink w:anchor="global-dev">
        <w:r>
          <w:rPr>
            <w:rStyle w:val="Link"/>
          </w:rPr>
          <w:t xml:space="preserve">Global DEV</w:t>
        </w:r>
      </w:hyperlink>
    </w:p>
    <w:p>
      <w:pPr>
        <w:pStyle w:val="Compact"/>
        <w:numPr>
          <w:numId w:val="14"/>
          <w:ilvl w:val="1"/>
        </w:numPr>
      </w:pPr>
      <w:hyperlink w:anchor="global-qa">
        <w:r>
          <w:rPr>
            <w:rStyle w:val="Link"/>
          </w:rPr>
          <w:t xml:space="preserve">Global QA</w:t>
        </w:r>
      </w:hyperlink>
    </w:p>
    <w:p>
      <w:pPr>
        <w:pStyle w:val="Compact"/>
        <w:numPr>
          <w:numId w:val="14"/>
          <w:ilvl w:val="1"/>
        </w:numPr>
      </w:pPr>
      <w:hyperlink w:anchor="global-prod">
        <w:r>
          <w:rPr>
            <w:rStyle w:val="Link"/>
          </w:rPr>
          <w:t xml:space="preserve">Global PROD</w:t>
        </w:r>
      </w:hyperlink>
    </w:p>
    <w:p>
      <w:pPr>
        <w:pStyle w:val="Compact"/>
        <w:numPr>
          <w:numId w:val="2"/>
          <w:ilvl w:val="0"/>
        </w:numPr>
      </w:pPr>
      <w:hyperlink w:anchor="logging-database">
        <w:r>
          <w:rPr>
            <w:rStyle w:val="Link"/>
          </w:rPr>
          <w:t xml:space="preserve">Logging Database</w:t>
        </w:r>
      </w:hyperlink>
    </w:p>
    <w:p>
      <w:pPr>
        <w:pStyle w:val="Compact"/>
        <w:numPr>
          <w:numId w:val="15"/>
          <w:ilvl w:val="1"/>
        </w:numPr>
      </w:pPr>
      <w:hyperlink w:anchor="dev-1">
        <w:r>
          <w:rPr>
            <w:rStyle w:val="Link"/>
          </w:rPr>
          <w:t xml:space="preserve">DEV</w:t>
        </w:r>
      </w:hyperlink>
    </w:p>
    <w:p>
      <w:pPr>
        <w:pStyle w:val="Compact"/>
        <w:numPr>
          <w:numId w:val="15"/>
          <w:ilvl w:val="1"/>
        </w:numPr>
      </w:pPr>
      <w:hyperlink w:anchor="qa-2">
        <w:r>
          <w:rPr>
            <w:rStyle w:val="Link"/>
          </w:rPr>
          <w:t xml:space="preserve">QA</w:t>
        </w:r>
      </w:hyperlink>
    </w:p>
    <w:p>
      <w:pPr>
        <w:pStyle w:val="Compact"/>
        <w:numPr>
          <w:numId w:val="15"/>
          <w:ilvl w:val="1"/>
        </w:numPr>
      </w:pPr>
      <w:hyperlink w:anchor="prod-1">
        <w:r>
          <w:rPr>
            <w:rStyle w:val="Link"/>
          </w:rPr>
          <w:t xml:space="preserve">PROD</w:t>
        </w:r>
      </w:hyperlink>
    </w:p>
    <w:p>
      <w:pPr>
        <w:pStyle w:val="Compact"/>
        <w:numPr>
          <w:numId w:val="2"/>
          <w:ilvl w:val="0"/>
        </w:numPr>
      </w:pPr>
      <w:hyperlink w:anchor="process-engine-configuration-changes">
        <w:r>
          <w:rPr>
            <w:rStyle w:val="Link"/>
          </w:rPr>
          <w:t xml:space="preserve">Process Engine Configuration Changes</w:t>
        </w:r>
      </w:hyperlink>
    </w:p>
    <w:p>
      <w:pPr>
        <w:pStyle w:val="Compact"/>
        <w:numPr>
          <w:numId w:val="2"/>
          <w:ilvl w:val="0"/>
        </w:numPr>
      </w:pPr>
      <w:hyperlink w:anchor="sap-bapi-connector-configuration">
        <w:r>
          <w:rPr>
            <w:rStyle w:val="Link"/>
          </w:rPr>
          <w:t xml:space="preserve">SAP BAPI Connector Configuration</w:t>
        </w:r>
      </w:hyperlink>
    </w:p>
    <w:bookmarkStart w:id="22" w:name="environments"/>
    <w:p>
      <w:pPr>
        <w:pStyle w:val="Heading1"/>
      </w:pPr>
      <w:r>
        <w:t xml:space="preserve">Environments</w:t>
      </w:r>
    </w:p>
    <w:bookmarkEnd w:id="22"/>
    <w:p>
      <w:r>
        <w:t xml:space="preserve">Informatica CLoud Org Login URL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Common</w:t>
            </w:r>
          </w:p>
        </w:tc>
        <w:tc>
          <w:p>
            <w:pPr>
              <w:pStyle w:val="Compact"/>
              <w:jc w:val="left"/>
            </w:pPr>
            <w:r>
              <w:t xml:space="preserve">https://app.informaticaondemand.com/ma/login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Development (SSO)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Document the SSO URL if applicable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QA (SSO)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Prod (SSO)</w:t>
            </w:r>
          </w:p>
        </w:tc>
        <w:tc>
          <w:p/>
        </w:tc>
      </w:tr>
    </w:tbl>
    <w:bookmarkStart w:id="23" w:name="dev"/>
    <w:p>
      <w:pPr>
        <w:pStyle w:val="Heading2"/>
      </w:pPr>
      <w:r>
        <w:t xml:space="preserve">DEV</w:t>
      </w:r>
    </w:p>
    <w:bookmarkEnd w:id="23"/>
    <w:bookmarkStart w:id="24" w:name="dev-agents"/>
    <w:p>
      <w:pPr>
        <w:pStyle w:val="Heading3"/>
      </w:pPr>
      <w:r>
        <w:t xml:space="preserve">DEV Agents</w:t>
      </w:r>
    </w:p>
    <w:bookmarkEnd w:id="24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Environment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Host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Informatica Cloud Hosted Agent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-- na_agent_01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EMEA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-- emea_agent_01</w:t>
            </w:r>
          </w:p>
        </w:tc>
        <w:tc>
          <w:p/>
        </w:tc>
      </w:tr>
      <w:tr>
        <w:tc>
          <w:p/>
        </w:tc>
        <w:tc>
          <w:p/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Console URL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https://ps1w2-ics.rt.informaticacloud.com/activevos/[ORGID]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SOAP services URL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https://ps1w2-ics.rt.informaticacloud.com/active-bpel/services/[ORGID]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services URL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https://ps1w2-ics.rt.informaticacloud.com/active-bpel/services/REST/[ORGID]</w:t>
            </w:r>
          </w:p>
        </w:tc>
      </w:tr>
    </w:tbl>
    <w:bookmarkStart w:id="25" w:name="qa"/>
    <w:p>
      <w:pPr>
        <w:pStyle w:val="Heading2"/>
      </w:pPr>
      <w:r>
        <w:t xml:space="preserve">QA</w:t>
      </w:r>
    </w:p>
    <w:bookmarkEnd w:id="2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Console URL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https://ps1w2-ics.rt.informaticacloud.com/activevos/[ORGID]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SOAP services URL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https://ps1w2-ics.rt.informaticacloud.com/active-bpel/services/[ORGID]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services URL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https://ps1w2-ics.rt.informaticacloud.com/active-bpel/services/REST/[ORGID]</w:t>
            </w:r>
          </w:p>
        </w:tc>
      </w:tr>
    </w:tbl>
    <w:bookmarkStart w:id="26" w:name="qa-agents"/>
    <w:p>
      <w:pPr>
        <w:pStyle w:val="Heading3"/>
      </w:pPr>
      <w:r>
        <w:t xml:space="preserve">QA Agents</w:t>
      </w:r>
    </w:p>
    <w:bookmarkEnd w:id="26"/>
    <w:p>
      <w:r>
        <w:t xml:space="preserve">Example QA Orgs Layout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Environment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Host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Informatica Cloud Hosted Agent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NA (2)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-- na_agent_01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-- na_agent_02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EU (2)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-- eu_agent_01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-- eu_agent_02</w:t>
            </w:r>
          </w:p>
        </w:tc>
        <w:tc>
          <w:p/>
        </w:tc>
      </w:tr>
    </w:tbl>
    <w:bookmarkStart w:id="27" w:name="prod"/>
    <w:p>
      <w:pPr>
        <w:pStyle w:val="Heading2"/>
      </w:pPr>
      <w:r>
        <w:t xml:space="preserve">PROD</w:t>
      </w:r>
    </w:p>
    <w:bookmarkEnd w:id="27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Console URL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https://ps1w2-ics.rt.informaticacloud.com/activevos/[ORGID]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SOAP services URL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https://ps1w2-ics.rt.informaticacloud.com/active-bpel/services/[ORGID]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services URL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https://ps1w2-ics.rt.informaticacloud.com/active-bpel/services/REST/[ORGID]</w:t>
            </w:r>
          </w:p>
        </w:tc>
      </w:tr>
    </w:tbl>
    <w:bookmarkStart w:id="28" w:name="prod-agents"/>
    <w:p>
      <w:pPr>
        <w:pStyle w:val="Heading3"/>
      </w:pPr>
      <w:r>
        <w:t xml:space="preserve">Prod Agents</w:t>
      </w:r>
    </w:p>
    <w:bookmarkEnd w:id="28"/>
    <w:p>
      <w:r>
        <w:t xml:space="preserve">Example PROD orgs layout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Environment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Host 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Informatica Cloud Hosted Agent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NA (2)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-- na_agent_01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-- na_agent_02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NA_DR (2)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-- na_agent_dr_01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-- na_agent_dr_02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EMEA (2)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-- eu_agent_01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-- eu_agent_01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EMEA_DR (2)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eu_agent_dr_01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eu_agent_dr_02</w:t>
            </w:r>
          </w:p>
        </w:tc>
        <w:tc>
          <w:p/>
        </w:tc>
      </w:tr>
    </w:tbl>
    <w:bookmarkStart w:id="29" w:name="directories"/>
    <w:p>
      <w:pPr>
        <w:pStyle w:val="Heading1"/>
      </w:pPr>
      <w:r>
        <w:t xml:space="preserve">Directories</w:t>
      </w:r>
    </w:p>
    <w:bookmarkEnd w:id="29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Agent installation location</w:t>
            </w:r>
          </w:p>
        </w:tc>
        <w:tc>
          <w:p>
            <w:pPr>
              <w:pStyle w:val="Compact"/>
              <w:jc w:val="left"/>
            </w:pPr>
            <w:r>
              <w:t xml:space="preserve">/opt/informatica/infaagent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 for staging Data</w:t>
            </w:r>
          </w:p>
        </w:tc>
        <w:tc>
          <w:p>
            <w:pPr>
              <w:pStyle w:val="Compact"/>
              <w:jc w:val="left"/>
            </w:pPr>
            <w:r>
              <w:t xml:space="preserve">/nfs/ipaas/data</w:t>
            </w:r>
          </w:p>
        </w:tc>
      </w:tr>
    </w:tbl>
    <w:p>
      <w:r>
        <w:t xml:space="preserve">Modified added custom files: that needs to be synchronized to Recovery Sites</w:t>
      </w:r>
    </w:p>
    <w:bookmarkStart w:id="30" w:name="extension-files-and-external-libraries"/>
    <w:p>
      <w:pPr>
        <w:pStyle w:val="Heading1"/>
      </w:pPr>
      <w:r>
        <w:t xml:space="preserve">Extension Files and External Libraries</w:t>
      </w:r>
    </w:p>
    <w:bookmarkEnd w:id="30"/>
    <w:p>
      <w:pPr>
        <w:pStyle w:val="SourceCode"/>
      </w:pPr>
      <w:r>
        <w:rPr>
          <w:rStyle w:val="VerbatimChar"/>
        </w:rPr>
        <w:t xml:space="preserve">Document extensions and external libraries deplyed to your agents</w:t>
      </w:r>
    </w:p>
    <w:bookmarkStart w:id="31" w:name="extensions-dev"/>
    <w:p>
      <w:pPr>
        <w:pStyle w:val="Heading2"/>
      </w:pPr>
      <w:r>
        <w:t xml:space="preserve">Extensions DEV</w:t>
      </w:r>
    </w:p>
    <w:bookmarkEnd w:id="31"/>
    <w:p>
      <w:pPr>
        <w:pStyle w:val="SourceCode"/>
      </w:pPr>
      <w:r>
        <w:rPr>
          <w:rStyle w:val="VerbatimChar"/>
        </w:rPr>
        <w:t xml:space="preserve">/opt/informatica/infaagent/apps/process-engine/ext</w:t>
      </w:r>
      <w:r>
        <w:br w:type="textWrapping"/>
      </w:r>
      <w:r>
        <w:rPr>
          <w:rStyle w:val="VerbatimChar"/>
        </w:rPr>
        <w:t xml:space="preserve">├── libsapjco3.so</w:t>
      </w:r>
      <w:r>
        <w:br w:type="textWrapping"/>
      </w:r>
      <w:r>
        <w:rPr>
          <w:rStyle w:val="VerbatimChar"/>
        </w:rPr>
        <w:t xml:space="preserve">├── ojdbc6_g.jar</w:t>
      </w:r>
      <w:r>
        <w:br w:type="textWrapping"/>
      </w:r>
      <w:r>
        <w:rPr>
          <w:rStyle w:val="VerbatimChar"/>
        </w:rPr>
        <w:t xml:space="preserve">└── sapjco3.jar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/opt/informatica/infaagent/apps/Data_Integration_Server/ext</w:t>
      </w:r>
      <w:r>
        <w:br w:type="textWrapping"/>
      </w:r>
      <w:r>
        <w:rPr>
          <w:rStyle w:val="VerbatimChar"/>
        </w:rPr>
        <w:t xml:space="preserve">└── deploy_to_main</w:t>
      </w:r>
      <w:r>
        <w:br w:type="textWrapping"/>
      </w:r>
      <w:r>
        <w:rPr>
          <w:rStyle w:val="VerbatimChar"/>
        </w:rPr>
        <w:t xml:space="preserve">    └── bin</w:t>
      </w:r>
      <w:r>
        <w:br w:type="textWrapping"/>
      </w:r>
      <w:r>
        <w:rPr>
          <w:rStyle w:val="VerbatimChar"/>
        </w:rPr>
        <w:t xml:space="preserve">        ├── rdtm</w:t>
      </w:r>
      <w:r>
        <w:br w:type="textWrapping"/>
      </w:r>
      <w:r>
        <w:rPr>
          <w:rStyle w:val="VerbatimChar"/>
        </w:rPr>
        <w:t xml:space="preserve">        │   ├── libicudata.so.34</w:t>
      </w:r>
      <w:r>
        <w:br w:type="textWrapping"/>
      </w:r>
      <w:r>
        <w:rPr>
          <w:rStyle w:val="VerbatimChar"/>
        </w:rPr>
        <w:t xml:space="preserve">        │   ├── libicudecnumber.so</w:t>
      </w:r>
      <w:r>
        <w:br w:type="textWrapping"/>
      </w:r>
      <w:r>
        <w:rPr>
          <w:rStyle w:val="VerbatimChar"/>
        </w:rPr>
        <w:t xml:space="preserve">        │   ├── libicui18n.so.34</w:t>
      </w:r>
      <w:r>
        <w:br w:type="textWrapping"/>
      </w:r>
      <w:r>
        <w:rPr>
          <w:rStyle w:val="VerbatimChar"/>
        </w:rPr>
        <w:t xml:space="preserve">        │   ├── libicuuc.so.34</w:t>
      </w:r>
      <w:r>
        <w:br w:type="textWrapping"/>
      </w:r>
      <w:r>
        <w:rPr>
          <w:rStyle w:val="VerbatimChar"/>
        </w:rPr>
        <w:t xml:space="preserve">        │   ├── libsapnwrfc.so</w:t>
      </w:r>
      <w:r>
        <w:br w:type="textWrapping"/>
      </w:r>
      <w:r>
        <w:rPr>
          <w:rStyle w:val="VerbatimChar"/>
        </w:rPr>
        <w:t xml:space="preserve">        │   ├── libsapucum.so</w:t>
      </w:r>
      <w:r>
        <w:br w:type="textWrapping"/>
      </w:r>
      <w:r>
        <w:rPr>
          <w:rStyle w:val="VerbatimChar"/>
        </w:rPr>
        <w:t xml:space="preserve">        │   └── sapnwrfc.ini</w:t>
      </w:r>
      <w:r>
        <w:br w:type="textWrapping"/>
      </w:r>
      <w:r>
        <w:rPr>
          <w:rStyle w:val="VerbatimChar"/>
        </w:rPr>
        <w:t xml:space="preserve">        └── rdtm-extra</w:t>
      </w:r>
      <w:r>
        <w:br w:type="textWrapping"/>
      </w:r>
      <w:r>
        <w:rPr>
          <w:rStyle w:val="VerbatimChar"/>
        </w:rPr>
        <w:t xml:space="preserve">            └── tpl</w:t>
      </w:r>
      <w:r>
        <w:br w:type="textWrapping"/>
      </w:r>
      <w:r>
        <w:rPr>
          <w:rStyle w:val="VerbatimChar"/>
        </w:rPr>
        <w:t xml:space="preserve">                └── sap</w:t>
      </w:r>
      <w:r>
        <w:br w:type="textWrapping"/>
      </w:r>
      <w:r>
        <w:rPr>
          <w:rStyle w:val="VerbatimChar"/>
        </w:rPr>
        <w:t xml:space="preserve">                    ├── libsapjco3.so</w:t>
      </w:r>
      <w:r>
        <w:br w:type="textWrapping"/>
      </w:r>
      <w:r>
        <w:rPr>
          <w:rStyle w:val="VerbatimChar"/>
        </w:rPr>
        <w:t xml:space="preserve">                    └── sapjco3.jar</w:t>
      </w:r>
    </w:p>
    <w:bookmarkStart w:id="32" w:name="synchronize-agent-config-and-external-libraries-to-another-server"/>
    <w:p>
      <w:pPr>
        <w:pStyle w:val="Heading3"/>
      </w:pPr>
      <w:r>
        <w:t xml:space="preserve">Synchronize Agent Config and external libraries to another server</w:t>
      </w:r>
    </w:p>
    <w:bookmarkEnd w:id="32"/>
    <w:p>
      <w:r>
        <w:t xml:space="preserve">Following are examples how to move SAP and other connector external dependencies and configuration to another server or download those to your machine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FROM QA and PROD Instances</w:t>
      </w:r>
      <w:r>
        <w:br w:type="textWrapping"/>
      </w:r>
      <w:r>
        <w:rPr>
          <w:rStyle w:val="VerbatimChar"/>
        </w:rPr>
        <w:t xml:space="preserve"># CD to Agent home directory on source system</w:t>
      </w:r>
      <w:r>
        <w:br w:type="textWrapping"/>
      </w:r>
      <w:r>
        <w:rPr>
          <w:rStyle w:val="VerbatimChar"/>
        </w:rPr>
        <w:t xml:space="preserve">cd /opt/informatica/infaagent</w:t>
      </w:r>
      <w:r>
        <w:br w:type="textWrapping"/>
      </w:r>
      <w:r>
        <w:rPr>
          <w:rStyle w:val="VerbatimChar"/>
        </w:rPr>
        <w:t xml:space="preserve">rsync -avzP --relative apps/process-engine/ext ipaas@target_system:/opt/informatica/infaagent</w:t>
      </w:r>
      <w:r>
        <w:br w:type="textWrapping"/>
      </w:r>
      <w:r>
        <w:rPr>
          <w:rStyle w:val="VerbatimChar"/>
        </w:rPr>
        <w:t xml:space="preserve">rsync -avzP --relative apps/Data_Integration_Server/ext ipaas@target_system:/opt/informatica/infaagent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download the files to local machine from server to current directory (full relative path to files will be preserved)</w:t>
      </w:r>
      <w:r>
        <w:br w:type="textWrapping"/>
      </w:r>
      <w:r>
        <w:rPr>
          <w:rStyle w:val="VerbatimChar"/>
        </w:rPr>
        <w:t xml:space="preserve">rsync -avzP --relative ipaas@mdzusvpclinf001:/opt/informatica/infaagent apps/process-engine/ext .</w:t>
      </w:r>
      <w:r>
        <w:br w:type="textWrapping"/>
      </w:r>
      <w:r>
        <w:rPr>
          <w:rStyle w:val="VerbatimChar"/>
        </w:rPr>
        <w:t xml:space="preserve">rsync -avzP --relative ipaas@mdzusvpclinf001:/opt/informatica/infaagent/apps/Data_Integration_Server/ext .</w:t>
      </w:r>
    </w:p>
    <w:bookmarkStart w:id="33" w:name="create-data-staging-directories"/>
    <w:p>
      <w:pPr>
        <w:pStyle w:val="Heading2"/>
      </w:pPr>
      <w:r>
        <w:t xml:space="preserve">Create Data Staging Directories</w:t>
      </w:r>
    </w:p>
    <w:bookmarkEnd w:id="33"/>
    <w:p>
      <w:r>
        <w:t xml:space="preserve">Following Script shows creation of staging data directory on NFS shared drive for agent in the group The directories should be owned by ipaas user</w:t>
      </w:r>
    </w:p>
    <w:p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mkdir -p /nfs/ipaas/data/salesforce</w:t>
      </w:r>
      <w:r>
        <w:br w:type="textWrapping"/>
      </w:r>
      <w:r>
        <w:rPr>
          <w:rStyle w:val="VerbatimChar"/>
        </w:rPr>
        <w:t xml:space="preserve">mkdir -p /nfs/ipaas/data/stackline</w:t>
      </w:r>
      <w:r>
        <w:br w:type="textWrapping"/>
      </w:r>
      <w:r>
        <w:rPr>
          <w:rStyle w:val="VerbatimChar"/>
        </w:rPr>
        <w:t xml:space="preserve">mkdir -p /nfs/ipaas/data/hadoop</w:t>
      </w:r>
    </w:p>
    <w:bookmarkStart w:id="34" w:name="urn-mappings"/>
    <w:p>
      <w:pPr>
        <w:pStyle w:val="Heading2"/>
      </w:pPr>
      <w:r>
        <w:t xml:space="preserve">URN Mappings</w:t>
      </w:r>
    </w:p>
    <w:bookmarkEnd w:id="34"/>
    <w:bookmarkStart w:id="35" w:name="cloud-server-dev"/>
    <w:p>
      <w:pPr>
        <w:pStyle w:val="Heading3"/>
      </w:pPr>
      <w:r>
        <w:t xml:space="preserve">Cloud Server DEV</w:t>
      </w:r>
    </w:p>
    <w:bookmarkEnd w:id="3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ae:agent-response-mechanism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This optional parameter enables asynchronous communication to agents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urn:environment:name</w:t>
            </w:r>
          </w:p>
        </w:tc>
        <w:tc>
          <w:p>
            <w:pPr>
              <w:pStyle w:val="Compact"/>
              <w:jc w:val="left"/>
            </w:pPr>
            <w:r>
              <w:t xml:space="preserve">Cloud Server DEV</w:t>
            </w:r>
          </w:p>
        </w:tc>
        <w:tc>
          <w:p>
            <w:pPr>
              <w:pStyle w:val="Compact"/>
              <w:jc w:val="left"/>
            </w:pPr>
            <w:r>
              <w:t xml:space="preserve">Defines Environment name for Reporting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ae:base-uri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</w:t>
            </w:r>
          </w:p>
        </w:tc>
        <w:tc>
          <w:p>
            <w:pPr>
              <w:pStyle w:val="Compact"/>
              <w:jc w:val="left"/>
            </w:pPr>
            <w:r>
              <w:t xml:space="preserve">Base URL of informatica cloud Pod</w:t>
            </w:r>
          </w:p>
        </w:tc>
      </w:tr>
    </w:tbl>
    <w:bookmarkStart w:id="36" w:name="cloud-server-qa"/>
    <w:p>
      <w:pPr>
        <w:pStyle w:val="Heading4"/>
      </w:pPr>
      <w:r>
        <w:t xml:space="preserve">Cloud Server QA</w:t>
      </w:r>
    </w:p>
    <w:bookmarkEnd w:id="36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ae:agent-response-mechanism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This optional parameter enables asynchronous communication to agents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urn:environment:name</w:t>
            </w:r>
          </w:p>
        </w:tc>
        <w:tc>
          <w:p>
            <w:pPr>
              <w:pStyle w:val="Compact"/>
              <w:jc w:val="left"/>
            </w:pPr>
            <w:r>
              <w:t xml:space="preserve">Cloud Server QA</w:t>
            </w:r>
          </w:p>
        </w:tc>
        <w:tc>
          <w:p>
            <w:pPr>
              <w:pStyle w:val="Compact"/>
              <w:jc w:val="left"/>
            </w:pPr>
            <w:r>
              <w:t xml:space="preserve">Defines Environment name for Reporting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ae:base-uri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</w:t>
            </w:r>
          </w:p>
        </w:tc>
        <w:tc>
          <w:p>
            <w:pPr>
              <w:pStyle w:val="Compact"/>
              <w:jc w:val="left"/>
            </w:pPr>
            <w:r>
              <w:t xml:space="preserve">Base URL of informatica cloud Pod</w:t>
            </w:r>
          </w:p>
        </w:tc>
      </w:tr>
    </w:tbl>
    <w:bookmarkStart w:id="37" w:name="cloud-server-prod"/>
    <w:p>
      <w:pPr>
        <w:pStyle w:val="Heading4"/>
      </w:pPr>
      <w:r>
        <w:t xml:space="preserve">Cloud Server PROD</w:t>
      </w:r>
    </w:p>
    <w:bookmarkEnd w:id="37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ae:agent-response-mechanism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This optional parameter enables asynchronous communication to agents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urn:environment:name</w:t>
            </w:r>
          </w:p>
        </w:tc>
        <w:tc>
          <w:p>
            <w:pPr>
              <w:pStyle w:val="Compact"/>
              <w:jc w:val="left"/>
            </w:pPr>
            <w:r>
              <w:t xml:space="preserve">Cloud Server PROD</w:t>
            </w:r>
          </w:p>
        </w:tc>
        <w:tc>
          <w:p>
            <w:pPr>
              <w:pStyle w:val="Compact"/>
              <w:jc w:val="left"/>
            </w:pPr>
            <w:r>
              <w:t xml:space="preserve">Defines Environment name for Reporting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ae:base-uri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</w:t>
            </w:r>
          </w:p>
        </w:tc>
        <w:tc>
          <w:p>
            <w:pPr>
              <w:pStyle w:val="Compact"/>
              <w:jc w:val="left"/>
            </w:pPr>
            <w:r>
              <w:t xml:space="preserve">Base URL of informatica cloud Pod</w:t>
            </w:r>
          </w:p>
        </w:tc>
      </w:tr>
    </w:tbl>
    <w:bookmarkStart w:id="38" w:name="agents-dev"/>
    <w:p>
      <w:pPr>
        <w:pStyle w:val="Heading3"/>
      </w:pPr>
      <w:r>
        <w:t xml:space="preserve">Agents DEV</w:t>
      </w:r>
    </w:p>
    <w:bookmarkEnd w:id="3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ae:internal-reporting</w:t>
            </w:r>
          </w:p>
        </w:tc>
        <w:tc>
          <w:p>
            <w:pPr>
              <w:pStyle w:val="Compact"/>
              <w:jc w:val="left"/>
            </w:pPr>
            <w:r>
              <w:t xml:space="preserve">http://localhost:8080/activevos/internalreports</w:t>
            </w:r>
          </w:p>
        </w:tc>
        <w:tc>
          <w:p>
            <w:pPr>
              <w:pStyle w:val="Compact"/>
              <w:jc w:val="left"/>
            </w:pPr>
            <w:r>
              <w:t xml:space="preserve">System Mapping, do not mot modify unless instructed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ae:task-inbox</w:t>
            </w:r>
          </w:p>
        </w:tc>
        <w:tc>
          <w:p>
            <w:pPr>
              <w:pStyle w:val="Compact"/>
              <w:jc w:val="left"/>
            </w:pPr>
            <w:r>
              <w:t xml:space="preserve">http://localhost:8080/activevos-central/avc</w:t>
            </w:r>
          </w:p>
        </w:tc>
        <w:tc>
          <w:p>
            <w:pPr>
              <w:pStyle w:val="Compact"/>
              <w:jc w:val="left"/>
            </w:pPr>
            <w:r>
              <w:t xml:space="preserve">System Mapping, do not mot modify unless instructed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ae:base-uri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</w:t>
            </w:r>
          </w:p>
        </w:tc>
        <w:tc>
          <w:p>
            <w:pPr>
              <w:pStyle w:val="Compact"/>
              <w:jc w:val="left"/>
            </w:pPr>
            <w:r>
              <w:t xml:space="preserve">Base URL of informatica cloud Pod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java:comp/env/jdbc/ActiveVOS</w:t>
            </w:r>
          </w:p>
        </w:tc>
        <w:tc>
          <w:p>
            <w:pPr>
              <w:pStyle w:val="Compact"/>
              <w:jc w:val="left"/>
            </w:pPr>
            <w:r>
              <w:t xml:space="preserve">java:comp/env/jdbc/ActiveVOS</w:t>
            </w:r>
          </w:p>
        </w:tc>
        <w:tc>
          <w:p>
            <w:pPr>
              <w:pStyle w:val="Compact"/>
              <w:jc w:val="left"/>
            </w:pPr>
            <w:r>
              <w:t xml:space="preserve">System Mapping, do not mot modify unless instructed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urn:aeHostEnvironmentRuntime</w:t>
            </w:r>
          </w:p>
        </w:tc>
        <w:tc>
          <w:p>
            <w:pPr>
              <w:pStyle w:val="Compact"/>
              <w:jc w:val="left"/>
            </w:pPr>
            <w:r>
              <w:t xml:space="preserve">avHostEnvironmentRuntimeAccess</w:t>
            </w:r>
          </w:p>
        </w:tc>
        <w:tc>
          <w:p>
            <w:pPr>
              <w:pStyle w:val="Compact"/>
              <w:jc w:val="left"/>
            </w:pPr>
            <w:r>
              <w:t xml:space="preserve">System Mapping, do not mot modify unless instructed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urn:environment:name</w:t>
            </w:r>
          </w:p>
        </w:tc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i.e.: na_agent_01</w:t>
            </w:r>
          </w:p>
        </w:tc>
        <w:tc>
          <w:p>
            <w:pPr>
              <w:pStyle w:val="Compact"/>
              <w:jc w:val="left"/>
            </w:pPr>
            <w:r>
              <w:t xml:space="preserve">must match the Actual agent name in the Org. 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urn:environment:orgid</w:t>
            </w:r>
          </w:p>
        </w:tc>
        <w:tc>
          <w:p>
            <w:pPr>
              <w:pStyle w:val="Compact"/>
              <w:jc w:val="left"/>
            </w:pPr>
            <w:r>
              <w:t xml:space="preserve">001WOZ</w:t>
            </w:r>
          </w:p>
        </w:tc>
        <w:tc>
          <w:p>
            <w:pPr>
              <w:pStyle w:val="Compact"/>
              <w:jc w:val="left"/>
            </w:pPr>
            <w:r>
              <w:t xml:space="preserve">Org. 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urn:acme:api</w:t>
            </w:r>
          </w:p>
        </w:tc>
        <w:tc>
          <w:p>
            <w:pPr>
              <w:pStyle w:val="Compact"/>
              <w:jc w:val="left"/>
            </w:pPr>
            <w:r>
              <w:t xml:space="preserve">https://api.acme.com:8443/api/entiy/v1</w:t>
            </w:r>
          </w:p>
        </w:tc>
        <w:tc>
          <w:p>
            <w:pPr>
              <w:pStyle w:val="Compact"/>
              <w:jc w:val="left"/>
            </w:pPr>
            <w:r>
              <w:t xml:space="preserve">Example API 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urn:acme:api:authorization</w:t>
            </w:r>
          </w:p>
        </w:tc>
        <w:tc>
          <w:p>
            <w:pPr>
              <w:pStyle w:val="Compact"/>
              <w:jc w:val="left"/>
            </w:pPr>
            <w:r>
              <w:t xml:space="preserve">encrypted:wn+c1v7mfSucng5qxvaWCIrMvi49lDyq</w:t>
            </w:r>
          </w:p>
        </w:tc>
        <w:tc>
          <w:p>
            <w:pPr>
              <w:pStyle w:val="Compact"/>
              <w:jc w:val="left"/>
            </w:pPr>
            <w:r>
              <w:t xml:space="preserve">Example API credentials Encrypted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urn:knox:api:staging:dir</w:t>
            </w:r>
          </w:p>
        </w:tc>
        <w:tc>
          <w:p>
            <w:pPr>
              <w:pStyle w:val="Compact"/>
              <w:jc w:val="left"/>
            </w:pPr>
            <w:r>
              <w:t xml:space="preserve">/nfs/ipaas/data/acme/integration_name</w:t>
            </w:r>
          </w:p>
        </w:tc>
        <w:tc>
          <w:p>
            <w:pPr>
              <w:pStyle w:val="Compact"/>
              <w:jc w:val="left"/>
            </w:pPr>
            <w:r>
              <w:t xml:space="preserve">Example configurable path to Staging directory</w:t>
            </w:r>
          </w:p>
        </w:tc>
      </w:tr>
    </w:tbl>
    <w:bookmarkStart w:id="39" w:name="agents-qa"/>
    <w:p>
      <w:pPr>
        <w:pStyle w:val="Heading4"/>
      </w:pPr>
      <w:r>
        <w:t xml:space="preserve">Agents QA</w:t>
      </w:r>
    </w:p>
    <w:bookmarkEnd w:id="39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ae:internal-reporting</w:t>
            </w:r>
          </w:p>
        </w:tc>
        <w:tc>
          <w:p>
            <w:pPr>
              <w:pStyle w:val="Compact"/>
              <w:jc w:val="left"/>
            </w:pPr>
            <w:r>
              <w:t xml:space="preserve">http://localhost:8080/activevos/internalreports</w:t>
            </w:r>
          </w:p>
        </w:tc>
        <w:tc>
          <w:p>
            <w:pPr>
              <w:pStyle w:val="Compact"/>
              <w:jc w:val="left"/>
            </w:pPr>
            <w:r>
              <w:t xml:space="preserve">System Mapping, do not mot modify unless instructed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ae:task-inbox</w:t>
            </w:r>
          </w:p>
        </w:tc>
        <w:tc>
          <w:p>
            <w:pPr>
              <w:pStyle w:val="Compact"/>
              <w:jc w:val="left"/>
            </w:pPr>
            <w:r>
              <w:t xml:space="preserve">http://localhost:8080/activevos-central/avc</w:t>
            </w:r>
          </w:p>
        </w:tc>
        <w:tc>
          <w:p>
            <w:pPr>
              <w:pStyle w:val="Compact"/>
              <w:jc w:val="left"/>
            </w:pPr>
            <w:r>
              <w:t xml:space="preserve">System Mapping, do not mot modify unless instructed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ae:base-uri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</w:t>
            </w:r>
          </w:p>
        </w:tc>
        <w:tc>
          <w:p>
            <w:pPr>
              <w:pStyle w:val="Compact"/>
              <w:jc w:val="left"/>
            </w:pPr>
            <w:r>
              <w:t xml:space="preserve">Base URL of informatica cloud Pod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java:comp/env/jdbc/ActiveVOS</w:t>
            </w:r>
          </w:p>
        </w:tc>
        <w:tc>
          <w:p>
            <w:pPr>
              <w:pStyle w:val="Compact"/>
              <w:jc w:val="left"/>
            </w:pPr>
            <w:r>
              <w:t xml:space="preserve">java:comp/env/jdbc/ActiveVOS</w:t>
            </w:r>
          </w:p>
        </w:tc>
        <w:tc>
          <w:p>
            <w:pPr>
              <w:pStyle w:val="Compact"/>
              <w:jc w:val="left"/>
            </w:pPr>
            <w:r>
              <w:t xml:space="preserve">System Mapping, do not mot modify unless instructed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urn:aeHostEnvironmentRuntime</w:t>
            </w:r>
          </w:p>
        </w:tc>
        <w:tc>
          <w:p>
            <w:pPr>
              <w:pStyle w:val="Compact"/>
              <w:jc w:val="left"/>
            </w:pPr>
            <w:r>
              <w:t xml:space="preserve">avHostEnvironmentRuntimeAccess</w:t>
            </w:r>
          </w:p>
        </w:tc>
        <w:tc>
          <w:p>
            <w:pPr>
              <w:pStyle w:val="Compact"/>
              <w:jc w:val="left"/>
            </w:pPr>
            <w:r>
              <w:t xml:space="preserve">System Mapping, do not mot modify unless instructed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urn:environment:name</w:t>
            </w:r>
          </w:p>
        </w:tc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i.e.: na_agent_01</w:t>
            </w:r>
          </w:p>
        </w:tc>
        <w:tc>
          <w:p>
            <w:pPr>
              <w:pStyle w:val="Compact"/>
              <w:jc w:val="left"/>
            </w:pPr>
            <w:r>
              <w:t xml:space="preserve">must match the Actual agent name in the Org. 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urn:environment:orgid</w:t>
            </w:r>
          </w:p>
        </w:tc>
        <w:tc>
          <w:p>
            <w:pPr>
              <w:pStyle w:val="Compact"/>
              <w:jc w:val="left"/>
            </w:pPr>
            <w:r>
              <w:t xml:space="preserve">001WOZ</w:t>
            </w:r>
          </w:p>
        </w:tc>
        <w:tc>
          <w:p>
            <w:pPr>
              <w:pStyle w:val="Compact"/>
              <w:jc w:val="left"/>
            </w:pPr>
            <w:r>
              <w:t xml:space="preserve">Org. 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urn:acme:api</w:t>
            </w:r>
          </w:p>
        </w:tc>
        <w:tc>
          <w:p>
            <w:pPr>
              <w:pStyle w:val="Compact"/>
              <w:jc w:val="left"/>
            </w:pPr>
            <w:r>
              <w:t xml:space="preserve">https://api.acme.com:8443/api/entiy/v1</w:t>
            </w:r>
          </w:p>
        </w:tc>
        <w:tc>
          <w:p>
            <w:pPr>
              <w:pStyle w:val="Compact"/>
              <w:jc w:val="left"/>
            </w:pPr>
            <w:r>
              <w:t xml:space="preserve">Example API 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urn:acme:api:authorization</w:t>
            </w:r>
          </w:p>
        </w:tc>
        <w:tc>
          <w:p>
            <w:pPr>
              <w:pStyle w:val="Compact"/>
              <w:jc w:val="left"/>
            </w:pPr>
            <w:r>
              <w:t xml:space="preserve">encrypted:wn+c1v7mfSucng5qxvaWCIrMvi49lDyq</w:t>
            </w:r>
          </w:p>
        </w:tc>
        <w:tc>
          <w:p>
            <w:pPr>
              <w:pStyle w:val="Compact"/>
              <w:jc w:val="left"/>
            </w:pPr>
            <w:r>
              <w:t xml:space="preserve">Example API credentials Encrypted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urn:knox:api:staging:dir</w:t>
            </w:r>
          </w:p>
        </w:tc>
        <w:tc>
          <w:p>
            <w:pPr>
              <w:pStyle w:val="Compact"/>
              <w:jc w:val="left"/>
            </w:pPr>
            <w:r>
              <w:t xml:space="preserve">/nfs/ipaas/data/acme/integration_name</w:t>
            </w:r>
          </w:p>
        </w:tc>
        <w:tc>
          <w:p>
            <w:pPr>
              <w:pStyle w:val="Compact"/>
              <w:jc w:val="left"/>
            </w:pPr>
            <w:r>
              <w:t xml:space="preserve">Example configurable path to Staging directory</w:t>
            </w:r>
          </w:p>
        </w:tc>
      </w:tr>
    </w:tbl>
    <w:bookmarkStart w:id="40" w:name="agents-prod"/>
    <w:p>
      <w:pPr>
        <w:pStyle w:val="Heading4"/>
      </w:pPr>
      <w:r>
        <w:t xml:space="preserve">Agents PROD</w:t>
      </w:r>
    </w:p>
    <w:bookmarkEnd w:id="40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URN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ae:internal-reporting</w:t>
            </w:r>
          </w:p>
        </w:tc>
        <w:tc>
          <w:p>
            <w:pPr>
              <w:pStyle w:val="Compact"/>
              <w:jc w:val="left"/>
            </w:pPr>
            <w:r>
              <w:t xml:space="preserve">http://localhost:8080/activevos/internalreports</w:t>
            </w:r>
          </w:p>
        </w:tc>
        <w:tc>
          <w:p>
            <w:pPr>
              <w:pStyle w:val="Compact"/>
              <w:jc w:val="left"/>
            </w:pPr>
            <w:r>
              <w:t xml:space="preserve">System Mapping, do not mot modify unless instructed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ae:task-inbox</w:t>
            </w:r>
          </w:p>
        </w:tc>
        <w:tc>
          <w:p>
            <w:pPr>
              <w:pStyle w:val="Compact"/>
              <w:jc w:val="left"/>
            </w:pPr>
            <w:r>
              <w:t xml:space="preserve">http://localhost:8080/activevos-central/avc</w:t>
            </w:r>
          </w:p>
        </w:tc>
        <w:tc>
          <w:p>
            <w:pPr>
              <w:pStyle w:val="Compact"/>
              <w:jc w:val="left"/>
            </w:pPr>
            <w:r>
              <w:t xml:space="preserve">System Mapping, do not mot modify unless instructed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ae:base-uri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</w:t>
            </w:r>
          </w:p>
        </w:tc>
        <w:tc>
          <w:p>
            <w:pPr>
              <w:pStyle w:val="Compact"/>
              <w:jc w:val="left"/>
            </w:pPr>
            <w:r>
              <w:t xml:space="preserve">Base URL of informatica cloud Pod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java:comp/env/jdbc/ActiveVOS</w:t>
            </w:r>
          </w:p>
        </w:tc>
        <w:tc>
          <w:p>
            <w:pPr>
              <w:pStyle w:val="Compact"/>
              <w:jc w:val="left"/>
            </w:pPr>
            <w:r>
              <w:t xml:space="preserve">java:comp/env/jdbc/ActiveVOS</w:t>
            </w:r>
          </w:p>
        </w:tc>
        <w:tc>
          <w:p>
            <w:pPr>
              <w:pStyle w:val="Compact"/>
              <w:jc w:val="left"/>
            </w:pPr>
            <w:r>
              <w:t xml:space="preserve">System Mapping, do not mot modify unless instructed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urn:aeHostEnvironmentRuntime</w:t>
            </w:r>
          </w:p>
        </w:tc>
        <w:tc>
          <w:p>
            <w:pPr>
              <w:pStyle w:val="Compact"/>
              <w:jc w:val="left"/>
            </w:pPr>
            <w:r>
              <w:t xml:space="preserve">avHostEnvironmentRuntimeAccess</w:t>
            </w:r>
          </w:p>
        </w:tc>
        <w:tc>
          <w:p>
            <w:pPr>
              <w:pStyle w:val="Compact"/>
              <w:jc w:val="left"/>
            </w:pPr>
            <w:r>
              <w:t xml:space="preserve">System Mapping, do not mot modify unless instructed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urn:environment:name</w:t>
            </w:r>
          </w:p>
        </w:tc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i.e.: na_agent_01</w:t>
            </w:r>
          </w:p>
        </w:tc>
        <w:tc>
          <w:p>
            <w:pPr>
              <w:pStyle w:val="Compact"/>
              <w:jc w:val="left"/>
            </w:pPr>
            <w:r>
              <w:t xml:space="preserve">must match the Actual agent name in the Org. 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urn:environment:orgid</w:t>
            </w:r>
          </w:p>
        </w:tc>
        <w:tc>
          <w:p>
            <w:pPr>
              <w:pStyle w:val="Compact"/>
              <w:jc w:val="left"/>
            </w:pPr>
            <w:r>
              <w:t xml:space="preserve">001WOZ</w:t>
            </w:r>
          </w:p>
        </w:tc>
        <w:tc>
          <w:p>
            <w:pPr>
              <w:pStyle w:val="Compact"/>
              <w:jc w:val="left"/>
            </w:pPr>
            <w:r>
              <w:t xml:space="preserve">Org. 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urn:acme:api</w:t>
            </w:r>
          </w:p>
        </w:tc>
        <w:tc>
          <w:p>
            <w:pPr>
              <w:pStyle w:val="Compact"/>
              <w:jc w:val="left"/>
            </w:pPr>
            <w:r>
              <w:t xml:space="preserve">https://api.acme.com:8443/api/entiy/v1</w:t>
            </w:r>
          </w:p>
        </w:tc>
        <w:tc>
          <w:p>
            <w:pPr>
              <w:pStyle w:val="Compact"/>
              <w:jc w:val="left"/>
            </w:pPr>
            <w:r>
              <w:t xml:space="preserve">Example API URL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urn:acme:api:authorization</w:t>
            </w:r>
          </w:p>
        </w:tc>
        <w:tc>
          <w:p>
            <w:pPr>
              <w:pStyle w:val="Compact"/>
              <w:jc w:val="left"/>
            </w:pPr>
            <w:r>
              <w:t xml:space="preserve">encrypted:wn+c1v7mfSucng5qxvaWCIrMvi49lDyq</w:t>
            </w:r>
          </w:p>
        </w:tc>
        <w:tc>
          <w:p>
            <w:pPr>
              <w:pStyle w:val="Compact"/>
              <w:jc w:val="left"/>
            </w:pPr>
            <w:r>
              <w:t xml:space="preserve">Example API credentials Encrypted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urn:knox:api:staging:dir</w:t>
            </w:r>
          </w:p>
        </w:tc>
        <w:tc>
          <w:p>
            <w:pPr>
              <w:pStyle w:val="Compact"/>
              <w:jc w:val="left"/>
            </w:pPr>
            <w:r>
              <w:t xml:space="preserve">/nfs/ipaas/data/acme/integration_name</w:t>
            </w:r>
          </w:p>
        </w:tc>
        <w:tc>
          <w:p>
            <w:pPr>
              <w:pStyle w:val="Compact"/>
              <w:jc w:val="left"/>
            </w:pPr>
            <w:r>
              <w:t xml:space="preserve">Example configurable path to Staging directory</w:t>
            </w:r>
          </w:p>
        </w:tc>
      </w:tr>
    </w:tbl>
    <w:bookmarkStart w:id="41" w:name="process-engine-alerting"/>
    <w:p>
      <w:pPr>
        <w:pStyle w:val="Heading1"/>
      </w:pPr>
      <w:r>
        <w:t xml:space="preserve">Process Engine Alerting</w:t>
      </w:r>
    </w:p>
    <w:bookmarkEnd w:id="41"/>
    <w:bookmarkStart w:id="42" w:name="qa-1"/>
    <w:p>
      <w:pPr>
        <w:pStyle w:val="Heading2"/>
      </w:pPr>
      <w:r>
        <w:t xml:space="preserve">QA</w:t>
      </w:r>
    </w:p>
    <w:bookmarkEnd w:id="42"/>
    <w:bookmarkStart w:id="43" w:name="icrt-email-service"/>
    <w:p>
      <w:pPr>
        <w:pStyle w:val="Heading3"/>
      </w:pPr>
      <w:r>
        <w:t xml:space="preserve">ICRT Email Service</w:t>
      </w:r>
    </w:p>
    <w:bookmarkEnd w:id="43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Enable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smtp.acme.com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From Address</w:t>
            </w:r>
          </w:p>
        </w:tc>
        <w:tc>
          <w:p>
            <w:pPr>
              <w:pStyle w:val="Compact"/>
              <w:jc w:val="left"/>
            </w:pPr>
            <w:r>
              <w:t xml:space="preserve">Corresponding to env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Security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Start w:id="44" w:name="icrt-fault-alert-service"/>
    <w:p>
      <w:pPr>
        <w:pStyle w:val="Heading3"/>
      </w:pPr>
      <w:r>
        <w:t xml:space="preserve">ICRT Fault Alert Service</w:t>
      </w:r>
    </w:p>
    <w:bookmarkEnd w:id="44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Enable Alert Service: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 for Alerts:</w:t>
            </w:r>
          </w:p>
        </w:tc>
        <w:tc>
          <w:p>
            <w:pPr>
              <w:pStyle w:val="Compact"/>
              <w:jc w:val="left"/>
            </w:pPr>
            <w:r>
              <w:t xml:space="preserve">Corresponding env 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Action:</w:t>
            </w:r>
          </w:p>
        </w:tc>
        <w:tc>
          <w:p>
            <w:pPr>
              <w:pStyle w:val="Compact"/>
              <w:jc w:val="left"/>
            </w:pPr>
            <w:r>
              <w:t xml:space="preserve">Send Email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Service: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</w:tbl>
    <w:bookmarkStart w:id="45" w:name="icrt-monitoring-alert-service"/>
    <w:p>
      <w:pPr>
        <w:pStyle w:val="Heading3"/>
      </w:pPr>
      <w:r>
        <w:t xml:space="preserve">ICRT Monitoring Alert Service</w:t>
      </w:r>
    </w:p>
    <w:bookmarkEnd w:id="4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Enable Alert Service: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bookmarkStart w:id="46" w:name="icrt-monitoring-thresholds-agents-only"/>
    <w:p>
      <w:pPr>
        <w:pStyle w:val="Heading2"/>
      </w:pPr>
      <w:r>
        <w:t xml:space="preserve">ICRT Monitoring Thresholds (Agents Only)</w:t>
      </w:r>
    </w:p>
    <w:bookmarkEnd w:id="46"/>
    <w:p>
      <w:r>
        <w:t xml:space="preserve">see: https://ps1w2-ics.rt.informaticacloud.com/activevos/001WZP/local/agent_01/monitoring_thresholds.action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to Monitor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Dispatch Service message rejected (count)</w:t>
            </w:r>
          </w:p>
        </w:tc>
        <w:tc>
          <w:p>
            <w:pPr>
              <w:pStyle w:val="Compact"/>
              <w:jc w:val="left"/>
            </w:pPr>
            <w:r>
              <w:t xml:space="preserve">Warning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Faulted</w:t>
            </w:r>
            <w:r>
              <w:t xml:space="preserve">processes (count)</w:t>
            </w:r>
          </w:p>
        </w:tc>
        <w:tc>
          <w:p>
            <w:pPr>
              <w:pStyle w:val="Compact"/>
              <w:jc w:val="left"/>
            </w:pPr>
            <w:r>
              <w:t xml:space="preserve">Warning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 count exceeded (count)</w:t>
            </w:r>
          </w:p>
        </w:tc>
        <w:tc>
          <w:p>
            <w:pPr>
              <w:pStyle w:val="Compact"/>
              <w:jc w:val="left"/>
            </w:pPr>
            <w:r>
              <w:t xml:space="preserve">Warning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to obtain plan (ms)</w:t>
            </w:r>
          </w:p>
        </w:tc>
        <w:tc>
          <w:p>
            <w:pPr>
              <w:pStyle w:val="Compact"/>
              <w:jc w:val="left"/>
            </w:pPr>
            <w:r>
              <w:t xml:space="preserve">Warning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p>
            <w:pPr>
              <w:pStyle w:val="Compact"/>
              <w:jc w:val="left"/>
            </w:pPr>
            <w:r>
              <w:t xml:space="preserve">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to save process (ms)</w:t>
            </w:r>
          </w:p>
        </w:tc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p>
            <w:pPr>
              <w:pStyle w:val="Compact"/>
              <w:jc w:val="left"/>
            </w:pPr>
            <w:r>
              <w:t xml:space="preserve">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Slow XQuery expressions (count)</w:t>
            </w:r>
          </w:p>
        </w:tc>
        <w:tc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Critical storage exceptions (count)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 manager work start delay (ms)</w:t>
            </w:r>
          </w:p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p>
            <w:pPr>
              <w:pStyle w:val="Compact"/>
              <w:jc w:val="left"/>
            </w:pPr>
            <w:r>
              <w:t xml:space="preserve">5000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to Execute XQuery (ms)</w:t>
            </w:r>
          </w:p>
        </w:tc>
        <w:tc>
          <w:p>
            <w:pPr>
              <w:pStyle w:val="Compact"/>
              <w:jc w:val="left"/>
            </w:pPr>
            <w:r>
              <w:t xml:space="preserve">Warning</w:t>
            </w:r>
          </w:p>
        </w:tc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p>
            <w:pPr>
              <w:pStyle w:val="Compact"/>
              <w:jc w:val="left"/>
            </w:pPr>
            <w:r>
              <w:t xml:space="preserve">10000</w:t>
            </w:r>
          </w:p>
        </w:tc>
      </w:tr>
    </w:tbl>
    <w:bookmarkStart w:id="47" w:name="ics-email-notifications"/>
    <w:p>
      <w:pPr>
        <w:pStyle w:val="Heading1"/>
      </w:pPr>
      <w:r>
        <w:t xml:space="preserve">ICS Email Notifications</w:t>
      </w:r>
    </w:p>
    <w:bookmarkEnd w:id="47"/>
    <w:bookmarkStart w:id="48" w:name="global-dev"/>
    <w:p>
      <w:pPr>
        <w:pStyle w:val="Heading2"/>
      </w:pPr>
      <w:r>
        <w:t xml:space="preserve">Global DEV</w:t>
      </w:r>
    </w:p>
    <w:bookmarkEnd w:id="4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Error 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Succes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&lt;fill-in&gt;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Warning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&lt;fill-in&gt;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&lt;fill-in&gt;</w:t>
            </w:r>
          </w:p>
        </w:tc>
      </w:tr>
    </w:tbl>
    <w:bookmarkStart w:id="49" w:name="global-qa"/>
    <w:p>
      <w:pPr>
        <w:pStyle w:val="Heading2"/>
      </w:pPr>
      <w:r>
        <w:t xml:space="preserve">Global QA</w:t>
      </w:r>
    </w:p>
    <w:bookmarkEnd w:id="49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Error 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Succes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&lt;fill-in&gt;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Warning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&lt;fill-in&gt;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&lt;fill-in&gt;</w:t>
            </w:r>
          </w:p>
        </w:tc>
      </w:tr>
    </w:tbl>
    <w:bookmarkStart w:id="50" w:name="global-prod"/>
    <w:p>
      <w:pPr>
        <w:pStyle w:val="Heading2"/>
      </w:pPr>
      <w:r>
        <w:t xml:space="preserve">Global PROD</w:t>
      </w:r>
    </w:p>
    <w:bookmarkEnd w:id="50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Error 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Emails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Succes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&lt;fill-in&gt;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Warning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&lt;fill-in&gt;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&lt;fill-in&gt;</w:t>
            </w:r>
          </w:p>
        </w:tc>
      </w:tr>
    </w:tbl>
    <w:bookmarkStart w:id="51" w:name="logging-database"/>
    <w:p>
      <w:pPr>
        <w:pStyle w:val="Heading1"/>
      </w:pPr>
      <w:r>
        <w:t xml:space="preserve">Logging Database</w:t>
      </w:r>
    </w:p>
    <w:bookmarkEnd w:id="51"/>
    <w:bookmarkStart w:id="52" w:name="dev-1"/>
    <w:p>
      <w:pPr>
        <w:pStyle w:val="Heading2"/>
      </w:pPr>
      <w:r>
        <w:t xml:space="preserve">DEV</w:t>
      </w:r>
    </w:p>
    <w:bookmarkEnd w:id="52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JDBC Connection URL</w:t>
            </w:r>
          </w:p>
        </w:tc>
        <w:tc>
          <w:p>
            <w:pPr>
              <w:pStyle w:val="Compact"/>
              <w:jc w:val="left"/>
            </w:pPr>
            <w:r>
              <w:t xml:space="preserve">jdbc:oracle:thin:</w:t>
            </w:r>
            <w:r>
              <w:t xml:space="preserve">@hostname:SID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JDBC Jar Directory</w:t>
            </w:r>
          </w:p>
        </w:tc>
        <w:tc>
          <w:p>
            <w:pPr>
              <w:pStyle w:val="Compact"/>
              <w:jc w:val="left"/>
            </w:pPr>
            <w:r>
              <w:t xml:space="preserve">/opt/informatica/infaagent/apps/process-engine/ext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JDBC Driver Class Name</w:t>
            </w:r>
          </w:p>
        </w:tc>
        <w:tc>
          <w:p>
            <w:pPr>
              <w:pStyle w:val="Compact"/>
              <w:jc w:val="left"/>
            </w:pPr>
            <w:r>
              <w:t xml:space="preserve">oracle.jdbc.OracleDriver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Schema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Object Filter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Comma separated list of object names.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TimeZone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Database timezone. Use this property if DB and Agent are in different timezones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Read Attributes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Isolation Level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Specifies the isolation level while reading from source object.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Override Isolation Level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 No Specifies if the task should proceed if a non-supported isolation level is chosen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Write Attributes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Number of retries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Specifies the number of retries for a closed connection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Retry wait period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Specifies the waiting time period in seconds before retrying</w:t>
            </w:r>
          </w:p>
        </w:tc>
      </w:tr>
    </w:tbl>
    <w:bookmarkStart w:id="53" w:name="qa-2"/>
    <w:p>
      <w:pPr>
        <w:pStyle w:val="Heading2"/>
      </w:pPr>
      <w:r>
        <w:t xml:space="preserve">QA</w:t>
      </w:r>
    </w:p>
    <w:bookmarkEnd w:id="53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JDBC Connection URL</w:t>
            </w:r>
          </w:p>
        </w:tc>
        <w:tc>
          <w:p>
            <w:pPr>
              <w:pStyle w:val="Compact"/>
              <w:jc w:val="left"/>
            </w:pPr>
            <w:r>
              <w:t xml:space="preserve">jdbc:oracle:thin:</w:t>
            </w:r>
            <w:r>
              <w:t xml:space="preserve">@hostname:SID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JDBC Jar Directory</w:t>
            </w:r>
          </w:p>
        </w:tc>
        <w:tc>
          <w:p>
            <w:pPr>
              <w:pStyle w:val="Compact"/>
              <w:jc w:val="left"/>
            </w:pPr>
            <w:r>
              <w:t xml:space="preserve">/opt/informatica/infaagent/apps/process-engine/ext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JDBC Driver Class Name</w:t>
            </w:r>
          </w:p>
        </w:tc>
        <w:tc>
          <w:p>
            <w:pPr>
              <w:pStyle w:val="Compact"/>
              <w:jc w:val="left"/>
            </w:pPr>
            <w:r>
              <w:t xml:space="preserve">oracle.jdbc.OracleDriver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Schema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Object Filter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Comma separated list of object names.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TimeZone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Database timezone. Use this property if DB and Agent are in different timezones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Read Attributes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Isolation Level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Specifies the isolation level while reading from source object.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Override Isolation Level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 No Specifies if the task should proceed if a non-supported isolation level is chosen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Write Attributes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Number of retries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Specifies the number of retries for a closed connection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Retry wait period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Specifies the waiting time period in seconds before retrying</w:t>
            </w:r>
          </w:p>
        </w:tc>
      </w:tr>
    </w:tbl>
    <w:bookmarkStart w:id="54" w:name="prod-1"/>
    <w:p>
      <w:pPr>
        <w:pStyle w:val="Heading2"/>
      </w:pPr>
      <w:r>
        <w:t xml:space="preserve">PROD</w:t>
      </w:r>
    </w:p>
    <w:bookmarkEnd w:id="54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JDBC Connection URL</w:t>
            </w:r>
          </w:p>
        </w:tc>
        <w:tc>
          <w:p>
            <w:pPr>
              <w:pStyle w:val="Compact"/>
              <w:jc w:val="left"/>
            </w:pPr>
            <w:r>
              <w:t xml:space="preserve">jdbc:oracle:thin:</w:t>
            </w:r>
            <w:r>
              <w:t xml:space="preserve">@hostname:SID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JDBC Jar Directory</w:t>
            </w:r>
          </w:p>
        </w:tc>
        <w:tc>
          <w:p>
            <w:pPr>
              <w:pStyle w:val="Compact"/>
              <w:jc w:val="left"/>
            </w:pPr>
            <w:r>
              <w:t xml:space="preserve">/opt/informatica/infaagent/apps/process-engine/ext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JDBC Driver Class Name</w:t>
            </w:r>
          </w:p>
        </w:tc>
        <w:tc>
          <w:p>
            <w:pPr>
              <w:pStyle w:val="Compact"/>
              <w:jc w:val="left"/>
            </w:pPr>
            <w:r>
              <w:t xml:space="preserve">oracle.jdbc.OracleDriver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Schema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Object Filter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Comma separated list of object names.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TimeZone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Database timezone. Use this property if DB and Agent are in different timezones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Read Attributes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Isolation Level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Specifies the isolation level while reading from source object.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Override Isolation Level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 No Specifies if the task should proceed if a non-supported isolation level is chosen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Write Attributes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Number of retries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Specifies the number of retries for a closed connection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Retry wait period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Specifies the waiting time period in seconds before retrying</w:t>
            </w:r>
          </w:p>
        </w:tc>
      </w:tr>
    </w:tbl>
    <w:bookmarkStart w:id="55" w:name="process-engine-configuration-changes"/>
    <w:p>
      <w:pPr>
        <w:pStyle w:val="Heading1"/>
      </w:pPr>
      <w:r>
        <w:t xml:space="preserve">Process Engine Configuration Changes</w:t>
      </w:r>
    </w:p>
    <w:bookmarkEnd w:id="5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Configuration Paramter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Where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Mondelez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JVM Memory Pramters "min-heap"</w:t>
            </w:r>
          </w:p>
        </w:tc>
        <w:tc>
          <w:p>
            <w:pPr>
              <w:pStyle w:val="Compact"/>
              <w:jc w:val="left"/>
            </w:pPr>
            <w:r>
              <w:t xml:space="preserve">Cloud Administration/Configure/RuntimeEnvironments/Agent/Process Server/JVM</w:t>
            </w:r>
          </w:p>
        </w:tc>
        <w:tc>
          <w:p>
            <w:pPr>
              <w:pStyle w:val="Compact"/>
              <w:jc w:val="left"/>
            </w:pPr>
            <w:r>
              <w:t xml:space="preserve">'512M'</w:t>
            </w:r>
          </w:p>
        </w:tc>
        <w:tc>
          <w:p>
            <w:pPr>
              <w:pStyle w:val="Compact"/>
              <w:jc w:val="left"/>
            </w:pPr>
            <w:r>
              <w:t xml:space="preserve">'1G'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JVM Memory Pramters "max-heap"</w:t>
            </w:r>
          </w:p>
        </w:tc>
        <w:tc>
          <w:p>
            <w:pPr>
              <w:pStyle w:val="Compact"/>
              <w:jc w:val="left"/>
            </w:pPr>
            <w:r>
              <w:t xml:space="preserve">Cloud Administration/Configure/RuntimeEnvironments/Agent/Process Server/JVM</w:t>
            </w:r>
          </w:p>
        </w:tc>
        <w:tc>
          <w:p>
            <w:pPr>
              <w:pStyle w:val="Compact"/>
              <w:jc w:val="left"/>
            </w:pPr>
            <w:r>
              <w:t xml:space="preserve">'1536M'</w:t>
            </w:r>
          </w:p>
        </w:tc>
        <w:tc>
          <w:p>
            <w:pPr>
              <w:pStyle w:val="Compact"/>
              <w:jc w:val="left"/>
            </w:pPr>
            <w:r>
              <w:t xml:space="preserve">'24G'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 size limit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https://ps1w2-ics.rt.informaticacloud.com/activevos/ORG/local/AGENT/engine_properties.action</w:t>
            </w:r>
          </w:p>
        </w:tc>
        <w:tc>
          <w:p>
            <w:pPr>
              <w:pStyle w:val="Compact"/>
              <w:jc w:val="left"/>
            </w:pPr>
            <w:r>
              <w:t xml:space="preserve">5242880 (5 MB)</w:t>
            </w:r>
          </w:p>
        </w:tc>
        <w:tc>
          <w:p>
            <w:pPr>
              <w:pStyle w:val="Compact"/>
              <w:jc w:val="left"/>
            </w:pPr>
            <w:r>
              <w:t xml:space="preserve">157286400(150 MB)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 with attachments size limit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https://ps1w2-ics.rt.informaticacloud.com/activevos/ORG/local/AGENT/engine_properties.action</w:t>
            </w:r>
          </w:p>
        </w:tc>
        <w:tc>
          <w:p>
            <w:pPr>
              <w:pStyle w:val="Compact"/>
              <w:jc w:val="left"/>
            </w:pPr>
            <w:r>
              <w:t xml:space="preserve">5242880 (5 MB)</w:t>
            </w:r>
          </w:p>
        </w:tc>
        <w:tc>
          <w:p>
            <w:pPr>
              <w:pStyle w:val="Compact"/>
              <w:jc w:val="left"/>
            </w:pPr>
            <w:r>
              <w:t xml:space="preserve">157286400(150 MB)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Contribution Cache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https://ps1w2-ics.rt.informaticacloud.com/activevos/ORG/local/AGENT/engine_properties.action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Deployment Plan Cache: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https://ps1w2-ics.rt.informaticacloud.com/activevos/ORG/local/AGENT/engine_properties.action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 Service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https://ps1w2-ics.rt.informaticacloud.com/activevos/ORG/local/AGENT/shellcmd_service.action</w:t>
            </w:r>
          </w:p>
        </w:tc>
        <w:tc>
          <w:p>
            <w:pPr>
              <w:pStyle w:val="Compact"/>
              <w:jc w:val="left"/>
            </w:pPr>
            <w:r>
              <w:t xml:space="preserve">disabled</w:t>
            </w:r>
          </w:p>
        </w:tc>
        <w:tc>
          <w:p>
            <w:pPr>
              <w:pStyle w:val="Compact"/>
              <w:jc w:val="left"/>
            </w:pPr>
            <w:r>
              <w:t xml:space="preserve">enabled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 Sevice</w:t>
            </w:r>
          </w:p>
        </w:tc>
        <w:tc>
          <w:p>
            <w:pPr>
              <w:pStyle w:val="Compact"/>
              <w:jc w:val="left"/>
            </w:pPr>
            <w:r>
              <w:t xml:space="preserve">https://ps1w2-ics.rt.informaticacloud.com/activevos/ORG/local/AGENT/email_service.action</w:t>
            </w:r>
          </w:p>
        </w:tc>
        <w:tc>
          <w:p>
            <w:pPr>
              <w:pStyle w:val="Compact"/>
              <w:jc w:val="left"/>
            </w:pPr>
            <w:r>
              <w:t xml:space="preserve">disabled</w:t>
            </w:r>
          </w:p>
        </w:tc>
        <w:tc>
          <w:p>
            <w:pPr>
              <w:pStyle w:val="Compact"/>
              <w:jc w:val="left"/>
            </w:pPr>
            <w:r>
              <w:t xml:space="preserve">enabled</w:t>
            </w:r>
          </w:p>
        </w:tc>
      </w:tr>
    </w:tbl>
    <w:bookmarkStart w:id="56" w:name="sap-bapi-connector-configuration"/>
    <w:p>
      <w:pPr>
        <w:pStyle w:val="Heading1"/>
      </w:pPr>
      <w:r>
        <w:t xml:space="preserve">SAP BAPI Connector Configuration</w:t>
      </w:r>
    </w:p>
    <w:bookmarkEnd w:id="56"/>
    <w:p>
      <w:r>
        <w:t xml:space="preserve">To support SAP Bapi Cnnector SAP Client libraries must be placed to corresponding extension directories under the secure agent as described in the</w:t>
      </w:r>
      <w:r>
        <w:t xml:space="preserve"> </w:t>
      </w:r>
      <w:hyperlink w:anchor="extension-files-and-external-libraries">
        <w:r>
          <w:rPr>
            <w:rStyle w:val="Link"/>
          </w:rPr>
          <w:t xml:space="preserve">Extension Files and External Libraries</w:t>
        </w:r>
      </w:hyperlink>
    </w:p>
    <w:p>
      <w:r>
        <w:t xml:space="preserve">In addition the Secure Engent Classpath must be updated</w:t>
      </w:r>
    </w:p>
    <w:p>
      <w:r>
        <w:rPr>
          <w:rStyle w:val="VerbatimChar"/>
        </w:rPr>
        <w:t xml:space="preserve">CLoud Administration Console &gt; Data Integration Server &gt; Tomcat JRE/</w:t>
      </w:r>
    </w:p>
    <w:p>
      <w:pPr>
        <w:pStyle w:val="SourceCode"/>
      </w:pPr>
      <w:r>
        <w:rPr>
          <w:rStyle w:val="VerbatimChar"/>
        </w:rPr>
        <w:t xml:space="preserve">JAVA_LIBS</w:t>
      </w:r>
      <w:r>
        <w:br w:type="textWrapping"/>
      </w:r>
      <w:r>
        <w:rPr>
          <w:rStyle w:val="VerbatimChar"/>
        </w:rPr>
        <w:t xml:space="preserve">../bin/rdtm-extra/tpl/sap/sapjco3.jar:../bin/rdtm/javalib/sap/sap-adapter-common.jar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824f7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a323d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