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w:t>
      </w:r>
      <w:r>
        <w:rPr>
          <w:sz w:val="20"/>
          <w:szCs w:val="20"/>
          <w:highlight w:val="white"/>
        </w:rPr>
        <w:t xml:space="preserve">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This Design Specification is to be used by the WibTeX development team as a definition of the design to allow for the implementation of the WibTeX Reference Management Software.Computer Science-base</w:t>
      </w:r>
      <w:r>
        <w:rPr>
          <w:sz w:val="20"/>
          <w:szCs w:val="20"/>
          <w:highlight w:val="white"/>
        </w:rPr>
        <w:t>d conferences often \cite{</w:t>
      </w:r>
      <w:r w:rsidR="002C5F20">
        <w:rPr>
          <w:sz w:val="20"/>
          <w:szCs w:val="20"/>
          <w:highlight w:val="white"/>
        </w:rPr>
        <w:t>cite1</w:t>
      </w:r>
      <w:r>
        <w:rPr>
          <w:sz w:val="20"/>
          <w:szCs w:val="20"/>
          <w:highlight w:val="white"/>
        </w:rPr>
        <w:t>} require or encourage the use of LaTeX and BibTeX to produce scholarly publications. When attempting to write for conferences outside the field of computer science, however, Microsoft word is predominantly</w:t>
      </w:r>
      <w:r>
        <w:rPr>
          <w:sz w:val="20"/>
          <w:szCs w:val="20"/>
          <w:highlight w:val="white"/>
        </w:rPr>
        <w:t xml:space="preserve"> used. Researchers who wish to publish their works across \cite{</w:t>
      </w:r>
      <w:r w:rsidR="001A7601">
        <w:rPr>
          <w:sz w:val="20"/>
          <w:szCs w:val="20"/>
          <w:highlight w:val="white"/>
        </w:rPr>
        <w:t>cite2</w:t>
      </w:r>
      <w:r>
        <w:rPr>
          <w:sz w:val="20"/>
          <w:szCs w:val="20"/>
          <w:highlight w:val="white"/>
        </w:rPr>
        <w:t>} scientific fields find that the transition from LaTeX and BibTeX to Microsoft Word is a tedious endeavor. As a result of this issue, the WibTeX Reference Management Soft</w:t>
      </w:r>
      <w:r>
        <w:rPr>
          <w:sz w:val="20"/>
          <w:szCs w:val="20"/>
          <w:highlight w:val="white"/>
        </w:rPr>
        <w:t>ware has been established to simplify the process of preparing documents for cross-discipline research publications by eliminating the need to reconstruct bibliographic information produced in BibTeX to a format suitable for Microsoft Word. WibTeX will all</w:t>
      </w:r>
      <w:r>
        <w:rPr>
          <w:sz w:val="20"/>
          <w:szCs w:val="20"/>
          <w:highlight w:val="white"/>
        </w:rPr>
        <w:t>ow the user to construct reference pages and in-text citations sourced from BibTeX bibliographic information from within a Microsoft Word Document, using a LaTeX workflow</w:t>
      </w:r>
      <w:r w:rsidR="004D47F7">
        <w:rPr>
          <w:sz w:val="20"/>
          <w:szCs w:val="20"/>
          <w:highlight w:val="white"/>
        </w:rPr>
        <w:t xml:space="preserve"> </w:t>
      </w:r>
      <w:r w:rsidR="004D47F7">
        <w:rPr>
          <w:sz w:val="20"/>
          <w:szCs w:val="20"/>
          <w:highlight w:val="white"/>
        </w:rPr>
        <w:t>\cite{</w:t>
      </w:r>
      <w:r w:rsidR="004D47F7">
        <w:rPr>
          <w:sz w:val="20"/>
          <w:szCs w:val="20"/>
          <w:highlight w:val="white"/>
        </w:rPr>
        <w:t>cite3</w:t>
      </w:r>
      <w:r w:rsidR="004D47F7">
        <w:rPr>
          <w:sz w:val="20"/>
          <w:szCs w:val="20"/>
          <w:highlight w:val="white"/>
        </w:rPr>
        <w:t>}</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w:t>
      </w:r>
      <w:r>
        <w:rPr>
          <w:sz w:val="20"/>
          <w:szCs w:val="20"/>
          <w:highlight w:val="white"/>
        </w:rPr>
        <w:t xml:space="preserve"> the software as determined \bibliography{</w:t>
      </w:r>
      <w:r>
        <w:rPr>
          <w:b/>
          <w:i/>
          <w:sz w:val="20"/>
          <w:szCs w:val="20"/>
          <w:highlight w:val="white"/>
        </w:rPr>
        <w:t>bibliography1</w:t>
      </w:r>
      <w:bookmarkStart w:id="1" w:name="_GoBack"/>
      <w:bookmarkEnd w:id="1"/>
      <w:r>
        <w:rPr>
          <w:sz w:val="20"/>
          <w:szCs w:val="20"/>
          <w:highlight w:val="white"/>
          <w:u w:val="single"/>
        </w:rPr>
        <w:t>}</w:t>
      </w:r>
      <w:r w:rsidR="00477DFC">
        <w:rPr>
          <w:sz w:val="20"/>
          <w:szCs w:val="20"/>
          <w:highlight w:val="white"/>
        </w:rPr>
        <w:t>.</w:t>
      </w:r>
    </w:p>
    <w:sectPr w:rsidR="00333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33277"/>
    <w:rsid w:val="001A7601"/>
    <w:rsid w:val="002C5F20"/>
    <w:rsid w:val="00333277"/>
    <w:rsid w:val="00390BF8"/>
    <w:rsid w:val="004224FA"/>
    <w:rsid w:val="00477DFC"/>
    <w:rsid w:val="004D47F7"/>
    <w:rsid w:val="009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116F"/>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8</cp:revision>
  <dcterms:created xsi:type="dcterms:W3CDTF">2017-04-06T08:09:00Z</dcterms:created>
  <dcterms:modified xsi:type="dcterms:W3CDTF">2017-04-06T08:40:00Z</dcterms:modified>
</cp:coreProperties>
</file>