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CFF3" w14:textId="77777777" w:rsidR="00F80658" w:rsidRPr="00F80658" w:rsidRDefault="00F80658" w:rsidP="00F80658">
      <w:r w:rsidRPr="00F80658">
        <w:rPr>
          <w:b/>
          <w:bCs/>
        </w:rPr>
        <w:t>Conclusions:</w:t>
      </w:r>
    </w:p>
    <w:p w14:paraId="10525387" w14:textId="77777777" w:rsidR="00F80658" w:rsidRPr="00F80658" w:rsidRDefault="00F80658" w:rsidP="00F80658">
      <w:pPr>
        <w:numPr>
          <w:ilvl w:val="0"/>
          <w:numId w:val="1"/>
        </w:numPr>
      </w:pPr>
      <w:r w:rsidRPr="00F80658">
        <w:rPr>
          <w:b/>
          <w:bCs/>
        </w:rPr>
        <w:t>Success Rates Vary Widely:</w:t>
      </w:r>
      <w:r w:rsidRPr="00F80658">
        <w:t xml:space="preserve"> The success rates of crowdfunding campaigns vary significantly based on the funding goal. For instance, campaigns with goals less than 1000 and those with goals between 20000 to 24999 and 30000 to 34999 have a 100% success rate. In contrast, campaigns with goals greater than 50000 have a lower success rate of 37%. This suggests that the funding goal is a crucial factor influencing a campaign's success.</w:t>
      </w:r>
    </w:p>
    <w:p w14:paraId="415B2900" w14:textId="77777777" w:rsidR="00F80658" w:rsidRPr="00F80658" w:rsidRDefault="00F80658" w:rsidP="00F80658">
      <w:pPr>
        <w:numPr>
          <w:ilvl w:val="0"/>
          <w:numId w:val="1"/>
        </w:numPr>
      </w:pPr>
      <w:r w:rsidRPr="00F80658">
        <w:rPr>
          <w:b/>
          <w:bCs/>
        </w:rPr>
        <w:t>Mid-Range Goals Tend to Perform Well:</w:t>
      </w:r>
      <w:r w:rsidRPr="00F80658">
        <w:t xml:space="preserve"> Campaigns with funding goals between 1000 and 9999 have a relatively high success rate of 83%. This mid-range of funding goals seems to be attractive to backers, as they have a higher likelihood of being successfully funded.</w:t>
      </w:r>
    </w:p>
    <w:p w14:paraId="6140BF5D" w14:textId="77777777" w:rsidR="00F80658" w:rsidRPr="00F80658" w:rsidRDefault="00F80658" w:rsidP="00F80658">
      <w:pPr>
        <w:numPr>
          <w:ilvl w:val="0"/>
          <w:numId w:val="1"/>
        </w:numPr>
      </w:pPr>
      <w:r w:rsidRPr="00F80658">
        <w:rPr>
          <w:b/>
          <w:bCs/>
        </w:rPr>
        <w:t>Large Goals Face Challenges:</w:t>
      </w:r>
      <w:r w:rsidRPr="00F80658">
        <w:t xml:space="preserve"> Campaigns with very high funding goals (greater than 50000) tend to have lower success rates (37%) and higher failure rates (53%). This indicates that raising a large amount of money through crowdfunding can be challenging, and backers might be more hesitant to support such campaigns.</w:t>
      </w:r>
    </w:p>
    <w:p w14:paraId="0BFA2EE0" w14:textId="77777777" w:rsidR="00F80658" w:rsidRPr="00F80658" w:rsidRDefault="00F80658" w:rsidP="00F80658">
      <w:r w:rsidRPr="00F80658">
        <w:rPr>
          <w:b/>
          <w:bCs/>
        </w:rPr>
        <w:t>Limitations of the Dataset:</w:t>
      </w:r>
    </w:p>
    <w:p w14:paraId="17E503EB" w14:textId="77777777" w:rsidR="00F80658" w:rsidRPr="00F80658" w:rsidRDefault="00F80658" w:rsidP="00F80658">
      <w:pPr>
        <w:numPr>
          <w:ilvl w:val="0"/>
          <w:numId w:val="2"/>
        </w:numPr>
      </w:pPr>
      <w:r w:rsidRPr="00F80658">
        <w:rPr>
          <w:b/>
          <w:bCs/>
        </w:rPr>
        <w:t>Lack of Context:</w:t>
      </w:r>
      <w:r w:rsidRPr="00F80658">
        <w:t xml:space="preserve"> The dataset provides numerical statistics but lacks context. We don't know the types of projects, the platforms used, or any external factors that could influence campaign success.</w:t>
      </w:r>
    </w:p>
    <w:p w14:paraId="47D41F38" w14:textId="77777777" w:rsidR="00F80658" w:rsidRPr="00F80658" w:rsidRDefault="00F80658" w:rsidP="00F80658">
      <w:pPr>
        <w:numPr>
          <w:ilvl w:val="0"/>
          <w:numId w:val="2"/>
        </w:numPr>
      </w:pPr>
      <w:r w:rsidRPr="00F80658">
        <w:rPr>
          <w:b/>
          <w:bCs/>
        </w:rPr>
        <w:t>Sample Size:</w:t>
      </w:r>
      <w:r w:rsidRPr="00F80658">
        <w:t xml:space="preserve"> The dataset may not represent the entire crowdfunding landscape. It's important to consider the size and diversity of the dataset when drawing conclusions.</w:t>
      </w:r>
    </w:p>
    <w:p w14:paraId="2FBE80CF" w14:textId="77777777" w:rsidR="00F80658" w:rsidRPr="00F80658" w:rsidRDefault="00F80658" w:rsidP="00F80658">
      <w:pPr>
        <w:numPr>
          <w:ilvl w:val="0"/>
          <w:numId w:val="2"/>
        </w:numPr>
      </w:pPr>
      <w:r w:rsidRPr="00F80658">
        <w:rPr>
          <w:b/>
          <w:bCs/>
        </w:rPr>
        <w:t>Time Frame:</w:t>
      </w:r>
      <w:r w:rsidRPr="00F80658">
        <w:t xml:space="preserve"> There's no information about the time frame or when these campaigns were conducted. Crowdfunding trends can change over time, and this data might not reflect current conditions.</w:t>
      </w:r>
    </w:p>
    <w:p w14:paraId="3A605A65" w14:textId="77777777" w:rsidR="00F80658" w:rsidRPr="00F80658" w:rsidRDefault="00F80658" w:rsidP="00F80658">
      <w:r w:rsidRPr="00F80658">
        <w:rPr>
          <w:b/>
          <w:bCs/>
        </w:rPr>
        <w:t>Additional Tables and Graphs:</w:t>
      </w:r>
    </w:p>
    <w:p w14:paraId="1D789C53" w14:textId="77777777" w:rsidR="00F80658" w:rsidRPr="00F80658" w:rsidRDefault="00F80658" w:rsidP="00F80658">
      <w:pPr>
        <w:numPr>
          <w:ilvl w:val="0"/>
          <w:numId w:val="3"/>
        </w:numPr>
      </w:pPr>
      <w:r w:rsidRPr="00F80658">
        <w:rPr>
          <w:b/>
          <w:bCs/>
        </w:rPr>
        <w:t>Time Series Analysis:</w:t>
      </w:r>
      <w:r w:rsidRPr="00F80658">
        <w:t xml:space="preserve"> Creating a line graph over time to track the success rates of crowdfunding campaigns can reveal trends and seasonality. This can help assess whether there have been changes in success rates over different periods.</w:t>
      </w:r>
    </w:p>
    <w:p w14:paraId="3711E881" w14:textId="77777777" w:rsidR="00F80658" w:rsidRPr="00F80658" w:rsidRDefault="00F80658" w:rsidP="00F80658">
      <w:pPr>
        <w:numPr>
          <w:ilvl w:val="0"/>
          <w:numId w:val="3"/>
        </w:numPr>
      </w:pPr>
      <w:r w:rsidRPr="00F80658">
        <w:rPr>
          <w:b/>
          <w:bCs/>
        </w:rPr>
        <w:t>Box Plot by Category:</w:t>
      </w:r>
      <w:r w:rsidRPr="00F80658">
        <w:t xml:space="preserve"> Grouping campaigns by category (e.g., technology, arts, health) and creating box plots for each category can help identify whether certain types of projects have different success rates.</w:t>
      </w:r>
    </w:p>
    <w:p w14:paraId="45117A39" w14:textId="77777777" w:rsidR="00F80658" w:rsidRPr="00F80658" w:rsidRDefault="00F80658" w:rsidP="00F80658">
      <w:pPr>
        <w:numPr>
          <w:ilvl w:val="0"/>
          <w:numId w:val="3"/>
        </w:numPr>
      </w:pPr>
      <w:r w:rsidRPr="00F80658">
        <w:rPr>
          <w:b/>
          <w:bCs/>
        </w:rPr>
        <w:t>Geographical Analysis:</w:t>
      </w:r>
      <w:r w:rsidRPr="00F80658">
        <w:t xml:space="preserve"> If data on the geographic location of campaigns is available, creating a geographic map to visualize where successful campaigns are concentrated can provide insights into regional crowdfunding patterns.</w:t>
      </w:r>
    </w:p>
    <w:p w14:paraId="4A8AC2FC" w14:textId="77777777" w:rsidR="00F80658" w:rsidRPr="00F80658" w:rsidRDefault="00F80658" w:rsidP="00F80658">
      <w:pPr>
        <w:numPr>
          <w:ilvl w:val="0"/>
          <w:numId w:val="3"/>
        </w:numPr>
      </w:pPr>
      <w:r w:rsidRPr="00F80658">
        <w:rPr>
          <w:b/>
          <w:bCs/>
        </w:rPr>
        <w:t>Correlation Analysis:</w:t>
      </w:r>
      <w:r w:rsidRPr="00F80658">
        <w:t xml:space="preserve"> Exploring potential correlations between variables like the funding goal, campaign duration, and success rate can reveal additional insights into what factors impact campaign outcomes.</w:t>
      </w:r>
    </w:p>
    <w:p w14:paraId="48671510" w14:textId="77777777" w:rsidR="00F80658" w:rsidRPr="00F80658" w:rsidRDefault="00F80658" w:rsidP="00F80658">
      <w:r w:rsidRPr="00F80658">
        <w:t xml:space="preserve">Each of these additional analyses can provide a deeper understanding of crowdfunding campaigns and offer more insights into what drives their success or failure. However, it's crucial to recognize that the </w:t>
      </w:r>
      <w:r w:rsidRPr="00F80658">
        <w:lastRenderedPageBreak/>
        <w:t>limitations of the dataset should be considered when drawing conclusions and interpreting the results of any analysis.</w:t>
      </w:r>
    </w:p>
    <w:p w14:paraId="3D61CBC0" w14:textId="77777777" w:rsidR="00C224F5" w:rsidRDefault="00C224F5"/>
    <w:sectPr w:rsidR="00C224F5">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2C963" w14:textId="77777777" w:rsidR="00F80658" w:rsidRDefault="00F80658" w:rsidP="00F80658">
      <w:pPr>
        <w:spacing w:after="0" w:line="240" w:lineRule="auto"/>
      </w:pPr>
      <w:r>
        <w:separator/>
      </w:r>
    </w:p>
  </w:endnote>
  <w:endnote w:type="continuationSeparator" w:id="0">
    <w:p w14:paraId="39617AE3" w14:textId="77777777" w:rsidR="00F80658" w:rsidRDefault="00F80658" w:rsidP="00F80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2BC3" w14:textId="44D1D746" w:rsidR="00F80658" w:rsidRDefault="00F80658">
    <w:pPr>
      <w:pStyle w:val="Footer"/>
    </w:pPr>
    <w:r>
      <w:rPr>
        <w:noProof/>
      </w:rPr>
      <mc:AlternateContent>
        <mc:Choice Requires="wps">
          <w:drawing>
            <wp:anchor distT="0" distB="0" distL="0" distR="0" simplePos="0" relativeHeight="251659264" behindDoc="0" locked="0" layoutInCell="1" allowOverlap="1" wp14:anchorId="413C6F7F" wp14:editId="0071CAEA">
              <wp:simplePos x="635" y="635"/>
              <wp:positionH relativeFrom="page">
                <wp:align>center</wp:align>
              </wp:positionH>
              <wp:positionV relativeFrom="page">
                <wp:align>bottom</wp:align>
              </wp:positionV>
              <wp:extent cx="443865" cy="443865"/>
              <wp:effectExtent l="0" t="0" r="3810" b="0"/>
              <wp:wrapNone/>
              <wp:docPr id="2" name="Text Box 2"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78C772" w14:textId="22883B61" w:rsidR="00F80658" w:rsidRPr="00F80658" w:rsidRDefault="00F80658" w:rsidP="00F80658">
                          <w:pPr>
                            <w:spacing w:after="0"/>
                            <w:rPr>
                              <w:rFonts w:ascii="Calibri" w:eastAsia="Calibri" w:hAnsi="Calibri" w:cs="Calibri"/>
                              <w:noProof/>
                              <w:color w:val="737373"/>
                              <w:sz w:val="16"/>
                              <w:szCs w:val="16"/>
                            </w:rPr>
                          </w:pPr>
                          <w:r w:rsidRPr="00F80658">
                            <w:rPr>
                              <w:rFonts w:ascii="Calibri" w:eastAsia="Calibri" w:hAnsi="Calibri" w:cs="Calibri"/>
                              <w:noProof/>
                              <w:color w:val="737373"/>
                              <w:sz w:val="16"/>
                              <w:szCs w:val="16"/>
                            </w:rPr>
                            <w:t>Asurion_Internal_Use_Only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3C6F7F" id="_x0000_t202" coordsize="21600,21600" o:spt="202" path="m,l,21600r21600,l21600,xe">
              <v:stroke joinstyle="miter"/>
              <v:path gradientshapeok="t" o:connecttype="rect"/>
            </v:shapetype>
            <v:shape id="Text Box 2" o:spid="_x0000_s1026" type="#_x0000_t202" alt="Asurion_Internal_Use_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678C772" w14:textId="22883B61" w:rsidR="00F80658" w:rsidRPr="00F80658" w:rsidRDefault="00F80658" w:rsidP="00F80658">
                    <w:pPr>
                      <w:spacing w:after="0"/>
                      <w:rPr>
                        <w:rFonts w:ascii="Calibri" w:eastAsia="Calibri" w:hAnsi="Calibri" w:cs="Calibri"/>
                        <w:noProof/>
                        <w:color w:val="737373"/>
                        <w:sz w:val="16"/>
                        <w:szCs w:val="16"/>
                      </w:rPr>
                    </w:pPr>
                    <w:r w:rsidRPr="00F80658">
                      <w:rPr>
                        <w:rFonts w:ascii="Calibri" w:eastAsia="Calibri" w:hAnsi="Calibri" w:cs="Calibri"/>
                        <w:noProof/>
                        <w:color w:val="737373"/>
                        <w:sz w:val="16"/>
                        <w:szCs w:val="16"/>
                      </w:rPr>
                      <w:t>Asurion_Internal_Use_Only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C506" w14:textId="23E8B646" w:rsidR="00F80658" w:rsidRDefault="00F80658">
    <w:pPr>
      <w:pStyle w:val="Footer"/>
    </w:pPr>
    <w:r>
      <w:rPr>
        <w:noProof/>
      </w:rPr>
      <mc:AlternateContent>
        <mc:Choice Requires="wps">
          <w:drawing>
            <wp:anchor distT="0" distB="0" distL="0" distR="0" simplePos="0" relativeHeight="251660288" behindDoc="0" locked="0" layoutInCell="1" allowOverlap="1" wp14:anchorId="31A5650C" wp14:editId="017581AC">
              <wp:simplePos x="914400" y="9429345"/>
              <wp:positionH relativeFrom="page">
                <wp:align>center</wp:align>
              </wp:positionH>
              <wp:positionV relativeFrom="page">
                <wp:align>bottom</wp:align>
              </wp:positionV>
              <wp:extent cx="443865" cy="443865"/>
              <wp:effectExtent l="0" t="0" r="3810" b="0"/>
              <wp:wrapNone/>
              <wp:docPr id="3" name="Text Box 3"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DB9A0C" w14:textId="62B1ABA4" w:rsidR="00F80658" w:rsidRPr="00F80658" w:rsidRDefault="00F80658" w:rsidP="00F80658">
                          <w:pPr>
                            <w:spacing w:after="0"/>
                            <w:rPr>
                              <w:rFonts w:ascii="Calibri" w:eastAsia="Calibri" w:hAnsi="Calibri" w:cs="Calibri"/>
                              <w:noProof/>
                              <w:color w:val="737373"/>
                              <w:sz w:val="16"/>
                              <w:szCs w:val="16"/>
                            </w:rPr>
                          </w:pPr>
                          <w:r w:rsidRPr="00F80658">
                            <w:rPr>
                              <w:rFonts w:ascii="Calibri" w:eastAsia="Calibri" w:hAnsi="Calibri" w:cs="Calibri"/>
                              <w:noProof/>
                              <w:color w:val="737373"/>
                              <w:sz w:val="16"/>
                              <w:szCs w:val="16"/>
                            </w:rPr>
                            <w:t>Asurion_Internal_Use_Only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A5650C" id="_x0000_t202" coordsize="21600,21600" o:spt="202" path="m,l,21600r21600,l21600,xe">
              <v:stroke joinstyle="miter"/>
              <v:path gradientshapeok="t" o:connecttype="rect"/>
            </v:shapetype>
            <v:shape id="Text Box 3" o:spid="_x0000_s1027" type="#_x0000_t202" alt="Asurion_Internal_Use_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BDB9A0C" w14:textId="62B1ABA4" w:rsidR="00F80658" w:rsidRPr="00F80658" w:rsidRDefault="00F80658" w:rsidP="00F80658">
                    <w:pPr>
                      <w:spacing w:after="0"/>
                      <w:rPr>
                        <w:rFonts w:ascii="Calibri" w:eastAsia="Calibri" w:hAnsi="Calibri" w:cs="Calibri"/>
                        <w:noProof/>
                        <w:color w:val="737373"/>
                        <w:sz w:val="16"/>
                        <w:szCs w:val="16"/>
                      </w:rPr>
                    </w:pPr>
                    <w:r w:rsidRPr="00F80658">
                      <w:rPr>
                        <w:rFonts w:ascii="Calibri" w:eastAsia="Calibri" w:hAnsi="Calibri" w:cs="Calibri"/>
                        <w:noProof/>
                        <w:color w:val="737373"/>
                        <w:sz w:val="16"/>
                        <w:szCs w:val="16"/>
                      </w:rPr>
                      <w:t>Asurion_Internal_Use_Only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BD20" w14:textId="100EDD25" w:rsidR="00F80658" w:rsidRDefault="00F80658">
    <w:pPr>
      <w:pStyle w:val="Footer"/>
    </w:pPr>
    <w:r>
      <w:rPr>
        <w:noProof/>
      </w:rPr>
      <mc:AlternateContent>
        <mc:Choice Requires="wps">
          <w:drawing>
            <wp:anchor distT="0" distB="0" distL="0" distR="0" simplePos="0" relativeHeight="251658240" behindDoc="0" locked="0" layoutInCell="1" allowOverlap="1" wp14:anchorId="25468CF0" wp14:editId="0C8D66B7">
              <wp:simplePos x="635" y="635"/>
              <wp:positionH relativeFrom="page">
                <wp:align>center</wp:align>
              </wp:positionH>
              <wp:positionV relativeFrom="page">
                <wp:align>bottom</wp:align>
              </wp:positionV>
              <wp:extent cx="443865" cy="443865"/>
              <wp:effectExtent l="0" t="0" r="3810" b="0"/>
              <wp:wrapNone/>
              <wp:docPr id="1" name="Text Box 1"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6778C7" w14:textId="26913047" w:rsidR="00F80658" w:rsidRPr="00F80658" w:rsidRDefault="00F80658" w:rsidP="00F80658">
                          <w:pPr>
                            <w:spacing w:after="0"/>
                            <w:rPr>
                              <w:rFonts w:ascii="Calibri" w:eastAsia="Calibri" w:hAnsi="Calibri" w:cs="Calibri"/>
                              <w:noProof/>
                              <w:color w:val="737373"/>
                              <w:sz w:val="16"/>
                              <w:szCs w:val="16"/>
                            </w:rPr>
                          </w:pPr>
                          <w:r w:rsidRPr="00F80658">
                            <w:rPr>
                              <w:rFonts w:ascii="Calibri" w:eastAsia="Calibri" w:hAnsi="Calibri" w:cs="Calibri"/>
                              <w:noProof/>
                              <w:color w:val="737373"/>
                              <w:sz w:val="16"/>
                              <w:szCs w:val="16"/>
                            </w:rPr>
                            <w:t>Asurion_Internal_Use_Only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5468CF0" id="_x0000_t202" coordsize="21600,21600" o:spt="202" path="m,l,21600r21600,l21600,xe">
              <v:stroke joinstyle="miter"/>
              <v:path gradientshapeok="t" o:connecttype="rect"/>
            </v:shapetype>
            <v:shape id="Text Box 1" o:spid="_x0000_s1028" type="#_x0000_t202" alt="Asurion_Internal_Use_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26778C7" w14:textId="26913047" w:rsidR="00F80658" w:rsidRPr="00F80658" w:rsidRDefault="00F80658" w:rsidP="00F80658">
                    <w:pPr>
                      <w:spacing w:after="0"/>
                      <w:rPr>
                        <w:rFonts w:ascii="Calibri" w:eastAsia="Calibri" w:hAnsi="Calibri" w:cs="Calibri"/>
                        <w:noProof/>
                        <w:color w:val="737373"/>
                        <w:sz w:val="16"/>
                        <w:szCs w:val="16"/>
                      </w:rPr>
                    </w:pPr>
                    <w:r w:rsidRPr="00F80658">
                      <w:rPr>
                        <w:rFonts w:ascii="Calibri" w:eastAsia="Calibri" w:hAnsi="Calibri" w:cs="Calibri"/>
                        <w:noProof/>
                        <w:color w:val="737373"/>
                        <w:sz w:val="16"/>
                        <w:szCs w:val="16"/>
                      </w:rPr>
                      <w:t>Asurion_Internal_Use_Only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125E0" w14:textId="77777777" w:rsidR="00F80658" w:rsidRDefault="00F80658" w:rsidP="00F80658">
      <w:pPr>
        <w:spacing w:after="0" w:line="240" w:lineRule="auto"/>
      </w:pPr>
      <w:r>
        <w:separator/>
      </w:r>
    </w:p>
  </w:footnote>
  <w:footnote w:type="continuationSeparator" w:id="0">
    <w:p w14:paraId="5DA7142D" w14:textId="77777777" w:rsidR="00F80658" w:rsidRDefault="00F80658" w:rsidP="00F80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158A"/>
    <w:multiLevelType w:val="multilevel"/>
    <w:tmpl w:val="FEA0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F0713"/>
    <w:multiLevelType w:val="multilevel"/>
    <w:tmpl w:val="30D8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A29B1"/>
    <w:multiLevelType w:val="multilevel"/>
    <w:tmpl w:val="5276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633759">
    <w:abstractNumId w:val="2"/>
  </w:num>
  <w:num w:numId="2" w16cid:durableId="1322274636">
    <w:abstractNumId w:val="0"/>
  </w:num>
  <w:num w:numId="3" w16cid:durableId="1574970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58"/>
    <w:rsid w:val="000D1EE8"/>
    <w:rsid w:val="00C224F5"/>
    <w:rsid w:val="00DA0620"/>
    <w:rsid w:val="00E27299"/>
    <w:rsid w:val="00F8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F7D2"/>
  <w15:chartTrackingRefBased/>
  <w15:docId w15:val="{961F659F-D153-4753-A308-EF9E98C1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80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4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76fefe-83de-4b32-859d-542d6c2f6125}" enabled="1" method="Standard" siteId="{64e5ad32-cb04-44df-8896-bed5d7792429}"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Brents, Jesse</dc:creator>
  <cp:keywords/>
  <dc:description/>
  <cp:lastModifiedBy>Brents, Jesse</cp:lastModifiedBy>
  <cp:revision>1</cp:revision>
  <dcterms:created xsi:type="dcterms:W3CDTF">2023-09-12T04:51:00Z</dcterms:created>
  <dcterms:modified xsi:type="dcterms:W3CDTF">2023-09-12T04:52:00Z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Asurion_Internal_Use_Only</vt:lpwstr>
  </property>
</Properties>
</file>