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br/>
        <w:br/>
        <w:t>AIRCRAFT CARRIER C5I MODERNIZATION PROGRAM (C5IMP)</w:t>
      </w:r>
    </w:p>
    <w:p>
      <w:pPr>
        <w:pStyle w:val="Title"/>
        <w:jc w:val="center"/>
      </w:pPr>
      <w:r>
        <w:t>CVN C5IMP Program Charter</w:t>
      </w:r>
    </w:p>
    <w:p>
      <w:pPr>
        <w:jc w:val="center"/>
      </w:pPr>
      <w:r>
        <w:rPr>
          <w:i/>
          <w:color w:val="595959"/>
          <w:sz w:val="24"/>
        </w:rPr>
        <w:t>Mission, Scope, Governance, Authorities, and Responsibilities</w:t>
      </w:r>
    </w:p>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168"/>
            <w:shd w:val="clear" w:fill="D9E2F3"/>
          </w:tcPr>
          <w:p>
            <w:r/>
            <w:r>
              <w:rPr>
                <w:b/>
                <w:color w:val="1F3A5F"/>
                <w:sz w:val="19"/>
              </w:rPr>
              <w:t>Document Control Field</w:t>
            </w:r>
          </w:p>
        </w:tc>
        <w:tc>
          <w:tcPr>
            <w:tcW w:type="dxa" w:w="6192"/>
            <w:shd w:val="clear" w:fill="D9E2F3"/>
          </w:tcPr>
          <w:p>
            <w:r/>
            <w:r>
              <w:rPr>
                <w:b/>
                <w:color w:val="1F3A5F"/>
                <w:sz w:val="19"/>
              </w:rPr>
              <w:t>Entry</w:t>
            </w:r>
          </w:p>
        </w:tc>
      </w:tr>
      <w:tr>
        <w:tc>
          <w:tcPr>
            <w:tcW w:type="dxa" w:w="3168"/>
          </w:tcPr>
          <w:p>
            <w:r/>
            <w:r>
              <w:rPr>
                <w:sz w:val="19"/>
              </w:rPr>
              <w:t>Document Number</w:t>
            </w:r>
          </w:p>
        </w:tc>
        <w:tc>
          <w:tcPr>
            <w:tcW w:type="dxa" w:w="6192"/>
          </w:tcPr>
          <w:p>
            <w:r/>
            <w:r>
              <w:rPr>
                <w:sz w:val="19"/>
              </w:rPr>
              <w:t>C5IMP-CHTR-001</w:t>
            </w:r>
          </w:p>
        </w:tc>
      </w:tr>
      <w:tr>
        <w:tc>
          <w:tcPr>
            <w:tcW w:type="dxa" w:w="3168"/>
          </w:tcPr>
          <w:p>
            <w:r/>
            <w:r>
              <w:rPr>
                <w:sz w:val="19"/>
              </w:rPr>
              <w:t>Version</w:t>
            </w:r>
          </w:p>
        </w:tc>
        <w:tc>
          <w:tcPr>
            <w:tcW w:type="dxa" w:w="6192"/>
          </w:tcPr>
          <w:p>
            <w:r/>
            <w:r>
              <w:rPr>
                <w:sz w:val="19"/>
              </w:rPr>
              <w:t>0.1 (DRAFT)</w:t>
            </w:r>
          </w:p>
        </w:tc>
      </w:tr>
      <w:tr>
        <w:tc>
          <w:tcPr>
            <w:tcW w:type="dxa" w:w="3168"/>
          </w:tcPr>
          <w:p>
            <w:r/>
            <w:r>
              <w:rPr>
                <w:sz w:val="19"/>
              </w:rPr>
              <w:t>Effective Date</w:t>
            </w:r>
          </w:p>
        </w:tc>
        <w:tc>
          <w:tcPr>
            <w:tcW w:type="dxa" w:w="6192"/>
          </w:tcPr>
          <w:p>
            <w:r/>
            <w:r>
              <w:rPr>
                <w:sz w:val="19"/>
              </w:rPr>
              <w:t>[DD MMM YYYY]</w:t>
            </w:r>
          </w:p>
        </w:tc>
      </w:tr>
      <w:tr>
        <w:tc>
          <w:tcPr>
            <w:tcW w:type="dxa" w:w="3168"/>
          </w:tcPr>
          <w:p>
            <w:r/>
            <w:r>
              <w:rPr>
                <w:sz w:val="19"/>
              </w:rPr>
              <w:t>Prepared By</w:t>
            </w:r>
          </w:p>
        </w:tc>
        <w:tc>
          <w:tcPr>
            <w:tcW w:type="dxa" w:w="6192"/>
          </w:tcPr>
          <w:p>
            <w:r/>
            <w:r>
              <w:rPr>
                <w:sz w:val="19"/>
              </w:rPr>
              <w:t>[Action Officer Name / Code]</w:t>
            </w:r>
          </w:p>
        </w:tc>
      </w:tr>
      <w:tr>
        <w:tc>
          <w:tcPr>
            <w:tcW w:type="dxa" w:w="3168"/>
          </w:tcPr>
          <w:p>
            <w:r/>
            <w:r>
              <w:rPr>
                <w:sz w:val="19"/>
              </w:rPr>
              <w:t>Reviewed By</w:t>
            </w:r>
          </w:p>
        </w:tc>
        <w:tc>
          <w:tcPr>
            <w:tcW w:type="dxa" w:w="6192"/>
          </w:tcPr>
          <w:p>
            <w:r/>
            <w:r>
              <w:rPr>
                <w:sz w:val="19"/>
              </w:rPr>
              <w:t>[Branch Head / Code]</w:t>
            </w:r>
          </w:p>
        </w:tc>
      </w:tr>
      <w:tr>
        <w:tc>
          <w:tcPr>
            <w:tcW w:type="dxa" w:w="3168"/>
          </w:tcPr>
          <w:p>
            <w:r/>
            <w:r>
              <w:rPr>
                <w:sz w:val="19"/>
              </w:rPr>
              <w:t>Approved By</w:t>
            </w:r>
          </w:p>
        </w:tc>
        <w:tc>
          <w:tcPr>
            <w:tcW w:type="dxa" w:w="6192"/>
          </w:tcPr>
          <w:p>
            <w:r/>
            <w:r>
              <w:rPr>
                <w:sz w:val="19"/>
              </w:rPr>
              <w:t>[Approval Authority / Code]</w:t>
            </w:r>
          </w:p>
        </w:tc>
      </w:tr>
      <w:tr>
        <w:tc>
          <w:tcPr>
            <w:tcW w:type="dxa" w:w="3168"/>
          </w:tcPr>
          <w:p>
            <w:r/>
            <w:r>
              <w:rPr>
                <w:sz w:val="19"/>
              </w:rPr>
              <w:t>Next Review Date</w:t>
            </w:r>
          </w:p>
        </w:tc>
        <w:tc>
          <w:tcPr>
            <w:tcW w:type="dxa" w:w="6192"/>
          </w:tcPr>
          <w:p>
            <w:r/>
            <w:r>
              <w:rPr>
                <w:sz w:val="19"/>
              </w:rPr>
              <w:t>[DD MMM YYYY]</w:t>
            </w:r>
          </w:p>
        </w:tc>
      </w:tr>
      <w:tr>
        <w:tc>
          <w:tcPr>
            <w:tcW w:type="dxa" w:w="3168"/>
          </w:tcPr>
          <w:p>
            <w:r/>
            <w:r>
              <w:rPr>
                <w:sz w:val="19"/>
              </w:rPr>
              <w:t>Classification</w:t>
            </w:r>
          </w:p>
        </w:tc>
        <w:tc>
          <w:tcPr>
            <w:tcW w:type="dxa" w:w="6192"/>
          </w:tcPr>
          <w:p>
            <w:r/>
            <w:r>
              <w:rPr>
                <w:sz w:val="19"/>
              </w:rPr>
              <w:t>UNCLASSIFIED (template) - [Insert handling caveat placeholder]</w:t>
            </w:r>
          </w:p>
        </w:tc>
      </w:tr>
      <w:tr>
        <w:tc>
          <w:tcPr>
            <w:tcW w:type="dxa" w:w="3168"/>
          </w:tcPr>
          <w:p>
            <w:r/>
            <w:r>
              <w:rPr>
                <w:sz w:val="19"/>
              </w:rPr>
              <w:t>SharePoint Location</w:t>
            </w:r>
          </w:p>
        </w:tc>
        <w:tc>
          <w:tcPr>
            <w:tcW w:type="dxa" w:w="6192"/>
          </w:tcPr>
          <w:p>
            <w:r/>
            <w:r>
              <w:rPr>
                <w:sz w:val="19"/>
              </w:rPr>
              <w:t>[C5IMP Site / Library / Folder]</w:t>
            </w:r>
          </w:p>
        </w:tc>
      </w:tr>
    </w:tbl>
    <w:p>
      <w:pPr>
        <w:jc w:val="center"/>
      </w:pPr>
      <w:r>
        <w:rPr>
          <w:b/>
          <w:color w:val="595959"/>
          <w:sz w:val="18"/>
        </w:rPr>
        <w:br/>
        <w:t>DRAFT TEMPLATE - NOT OFFICIAL POLICY - UNCLASSIFIED</w:t>
        <w:br/>
        <w:t>DISTRIBUTION STATEMENT PLACEHOLDER - Insert appropriate distribution statement prior to release.</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fill="D9E2F3"/>
          </w:tcPr>
          <w:p>
            <w:r/>
            <w:r>
              <w:rPr>
                <w:b/>
                <w:color w:val="1F3A5F"/>
                <w:sz w:val="19"/>
              </w:rPr>
              <w:t>Version</w:t>
            </w:r>
          </w:p>
        </w:tc>
        <w:tc>
          <w:tcPr>
            <w:tcW w:type="dxa" w:w="1728"/>
            <w:shd w:val="clear" w:fill="D9E2F3"/>
          </w:tcPr>
          <w:p>
            <w:r/>
            <w:r>
              <w:rPr>
                <w:b/>
                <w:color w:val="1F3A5F"/>
                <w:sz w:val="19"/>
              </w:rPr>
              <w:t>Date</w:t>
            </w:r>
          </w:p>
        </w:tc>
        <w:tc>
          <w:tcPr>
            <w:tcW w:type="dxa" w:w="1728"/>
            <w:shd w:val="clear" w:fill="D9E2F3"/>
          </w:tcPr>
          <w:p>
            <w:r/>
            <w:r>
              <w:rPr>
                <w:b/>
                <w:color w:val="1F3A5F"/>
                <w:sz w:val="19"/>
              </w:rPr>
              <w:t>Author / Code</w:t>
            </w:r>
          </w:p>
        </w:tc>
        <w:tc>
          <w:tcPr>
            <w:tcW w:type="dxa" w:w="1728"/>
            <w:shd w:val="clear" w:fill="D9E2F3"/>
          </w:tcPr>
          <w:p>
            <w:r/>
            <w:r>
              <w:rPr>
                <w:b/>
                <w:color w:val="1F3A5F"/>
                <w:sz w:val="19"/>
              </w:rPr>
              <w:t>Description of Change</w:t>
            </w:r>
          </w:p>
        </w:tc>
        <w:tc>
          <w:tcPr>
            <w:tcW w:type="dxa" w:w="1728"/>
            <w:shd w:val="clear" w:fill="D9E2F3"/>
          </w:tcPr>
          <w:p>
            <w:r/>
            <w:r>
              <w:rPr>
                <w:b/>
                <w:color w:val="1F3A5F"/>
                <w:sz w:val="19"/>
              </w:rPr>
              <w:t>Approved By</w:t>
            </w:r>
          </w:p>
        </w:tc>
      </w:tr>
      <w:tr>
        <w:tc>
          <w:tcPr>
            <w:tcW w:type="dxa" w:w="1728"/>
          </w:tcPr>
          <w:p>
            <w:r/>
            <w:r>
              <w:rPr>
                <w:sz w:val="19"/>
              </w:rPr>
              <w:t>0.1</w:t>
            </w:r>
          </w:p>
        </w:tc>
        <w:tc>
          <w:tcPr>
            <w:tcW w:type="dxa" w:w="1728"/>
          </w:tcPr>
          <w:p>
            <w:r/>
            <w:r>
              <w:rPr>
                <w:sz w:val="19"/>
              </w:rPr>
              <w:t>[DD MMM YYYY]</w:t>
            </w:r>
          </w:p>
        </w:tc>
        <w:tc>
          <w:tcPr>
            <w:tcW w:type="dxa" w:w="1728"/>
          </w:tcPr>
          <w:p>
            <w:r/>
            <w:r>
              <w:rPr>
                <w:sz w:val="19"/>
              </w:rPr>
              <w:t>[Name / Code]</w:t>
            </w:r>
          </w:p>
        </w:tc>
        <w:tc>
          <w:tcPr>
            <w:tcW w:type="dxa" w:w="1728"/>
          </w:tcPr>
          <w:p>
            <w:r/>
            <w:r>
              <w:rPr>
                <w:sz w:val="19"/>
              </w:rPr>
              <w:t>Initial draft template.</w:t>
            </w:r>
          </w:p>
        </w:tc>
        <w:tc>
          <w:tcPr>
            <w:tcW w:type="dxa" w:w="1728"/>
          </w:tcPr>
          <w:p>
            <w:r/>
            <w:r>
              <w:rPr>
                <w:sz w:val="19"/>
              </w:rPr>
              <w:t>[Name / Code]</w:t>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bl>
    <w:p>
      <w:pPr>
        <w:pStyle w:val="Heading1"/>
      </w:pPr>
      <w:r>
        <w:t>1. Purpose</w:t>
      </w:r>
    </w:p>
    <w:p>
      <w:r>
        <w:t>This Charter establishes the Aircraft Carrier Command, Control, Communications, Computers, Combat Systems, and Intelligence (C5I) Modernization Program (C5IMP) administrative framework. It defines the mission, scope, governance structure, decision authorities, and stakeholder responsibilities required to plan, coordinate, and execute C5I modernization across the CVN class.</w:t>
      </w:r>
    </w:p>
    <w:p>
      <w:r>
        <w:t>This document is a template. It does not constitute official policy until reviewed, tailored, and signed by the designated approval authorities.</w:t>
      </w:r>
    </w:p>
    <w:p>
      <w:pPr>
        <w:pStyle w:val="Heading1"/>
      </w:pPr>
      <w:r>
        <w:t>2. Mission</w:t>
      </w:r>
    </w:p>
    <w:p>
      <w:r>
        <w:t>Deliver integrated, configuration-controlled C5I modernization to CVN hulls in alignment with availability schedules, fleet readiness requirements, and approved baselines, while preserving decision traceability between TYCOM, NAVSEA, PEO Carriers, and PEO C4I/PMW stakeholders.</w:t>
      </w:r>
    </w:p>
    <w:p>
      <w:pPr>
        <w:pStyle w:val="Heading1"/>
      </w:pPr>
      <w:r>
        <w:t>3. Scope</w:t>
      </w:r>
    </w:p>
    <w:p>
      <w:r>
        <w:t>The C5IMP administrative framework applies to the following activities for hulls [CVN-XX], [CVN-YY], [CVN-ZZ]:</w:t>
      </w:r>
    </w:p>
    <w:p>
      <w:pPr>
        <w:pStyle w:val="ListBullet"/>
      </w:pPr>
      <w:r>
        <w:t>Shipboard C5I modernization planning and prioritization.</w:t>
      </w:r>
    </w:p>
    <w:p>
      <w:pPr>
        <w:pStyle w:val="ListBullet"/>
      </w:pPr>
      <w:r>
        <w:t>C5I installation coordination across PIA/DPIA/CIA availabilities.</w:t>
      </w:r>
    </w:p>
    <w:p>
      <w:pPr>
        <w:pStyle w:val="ListBullet"/>
      </w:pPr>
      <w:r>
        <w:t>Baseline configuration management for C5I systems (C2 Suite, Communications (SATCOM/LOS), Networks (Afloat Network Placeholder), Combat Systems Interfaces, ISR, Navigation, Cybersecurity Infrastructure).</w:t>
      </w:r>
    </w:p>
    <w:p>
      <w:pPr>
        <w:pStyle w:val="ListBullet"/>
      </w:pPr>
      <w:r>
        <w:t>TYCOM readiness governance and modernization readiness assessment.</w:t>
      </w:r>
    </w:p>
    <w:p>
      <w:pPr>
        <w:pStyle w:val="ListBullet"/>
      </w:pPr>
      <w:r>
        <w:t>NAVSEA / PEO Carriers / PEO C4I / PMW stakeholder coordination.</w:t>
      </w:r>
    </w:p>
    <w:p>
      <w:pPr>
        <w:pStyle w:val="ListBullet"/>
      </w:pPr>
      <w:r>
        <w:t>Risk, issue, and opportunity management.</w:t>
      </w:r>
    </w:p>
    <w:p>
      <w:pPr>
        <w:pStyle w:val="ListBullet"/>
      </w:pPr>
      <w:r>
        <w:t>Action item management and decision documentation.</w:t>
      </w:r>
    </w:p>
    <w:p>
      <w:pPr>
        <w:pStyle w:val="ListBullet"/>
      </w:pPr>
      <w:r>
        <w:t>Availability integration planning and execution oversight.</w:t>
      </w:r>
    </w:p>
    <w:p>
      <w:pPr>
        <w:pStyle w:val="ListBullet"/>
      </w:pPr>
      <w:r>
        <w:t>Lessons learned capture and baseline updates.</w:t>
      </w:r>
    </w:p>
    <w:p>
      <w:pPr>
        <w:pStyle w:val="Heading1"/>
      </w:pPr>
      <w:r>
        <w:t>4. Governance Structure</w:t>
      </w:r>
    </w:p>
    <w:p>
      <w:r>
        <w:t>C5IMP governance operates through the following forums. Membership, thresholds, and cadence are detailed in the C5IMP Governance SOP and CCB Charter.</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fill="D9E2F3"/>
          </w:tcPr>
          <w:p>
            <w:r/>
            <w:r>
              <w:rPr>
                <w:b/>
                <w:color w:val="1F3A5F"/>
                <w:sz w:val="19"/>
              </w:rPr>
              <w:t>Forum</w:t>
            </w:r>
          </w:p>
        </w:tc>
        <w:tc>
          <w:tcPr>
            <w:tcW w:type="dxa" w:w="2160"/>
            <w:shd w:val="clear" w:fill="D9E2F3"/>
          </w:tcPr>
          <w:p>
            <w:r/>
            <w:r>
              <w:rPr>
                <w:b/>
                <w:color w:val="1F3A5F"/>
                <w:sz w:val="19"/>
              </w:rPr>
              <w:t>Chair</w:t>
            </w:r>
          </w:p>
        </w:tc>
        <w:tc>
          <w:tcPr>
            <w:tcW w:type="dxa" w:w="2160"/>
            <w:shd w:val="clear" w:fill="D9E2F3"/>
          </w:tcPr>
          <w:p>
            <w:r/>
            <w:r>
              <w:rPr>
                <w:b/>
                <w:color w:val="1F3A5F"/>
                <w:sz w:val="19"/>
              </w:rPr>
              <w:t>Cadence</w:t>
            </w:r>
          </w:p>
        </w:tc>
        <w:tc>
          <w:tcPr>
            <w:tcW w:type="dxa" w:w="2160"/>
            <w:shd w:val="clear" w:fill="D9E2F3"/>
          </w:tcPr>
          <w:p>
            <w:r/>
            <w:r>
              <w:rPr>
                <w:b/>
                <w:color w:val="1F3A5F"/>
                <w:sz w:val="19"/>
              </w:rPr>
              <w:t>Primary Outputs</w:t>
            </w:r>
          </w:p>
        </w:tc>
      </w:tr>
      <w:tr>
        <w:tc>
          <w:tcPr>
            <w:tcW w:type="dxa" w:w="2160"/>
          </w:tcPr>
          <w:p>
            <w:r/>
            <w:r>
              <w:rPr>
                <w:sz w:val="19"/>
              </w:rPr>
              <w:t>C5IMP Executive Steering Board</w:t>
            </w:r>
          </w:p>
        </w:tc>
        <w:tc>
          <w:tcPr>
            <w:tcW w:type="dxa" w:w="2160"/>
          </w:tcPr>
          <w:p>
            <w:r/>
            <w:r>
              <w:rPr>
                <w:sz w:val="19"/>
              </w:rPr>
              <w:t>[TYCOM N6 / NAVSEA Flag-level Placeholder]</w:t>
            </w:r>
          </w:p>
        </w:tc>
        <w:tc>
          <w:tcPr>
            <w:tcW w:type="dxa" w:w="2160"/>
          </w:tcPr>
          <w:p>
            <w:r/>
            <w:r>
              <w:rPr>
                <w:sz w:val="19"/>
              </w:rPr>
              <w:t>Quarterly</w:t>
            </w:r>
          </w:p>
        </w:tc>
        <w:tc>
          <w:tcPr>
            <w:tcW w:type="dxa" w:w="2160"/>
          </w:tcPr>
          <w:p>
            <w:r/>
            <w:r>
              <w:rPr>
                <w:sz w:val="19"/>
              </w:rPr>
              <w:t>Strategic direction, escalated decisions, resource adjudication</w:t>
            </w:r>
          </w:p>
        </w:tc>
      </w:tr>
      <w:tr>
        <w:tc>
          <w:tcPr>
            <w:tcW w:type="dxa" w:w="2160"/>
          </w:tcPr>
          <w:p>
            <w:r/>
            <w:r>
              <w:rPr>
                <w:sz w:val="19"/>
              </w:rPr>
              <w:t>C5IMP Configuration Control Board (CCB)</w:t>
            </w:r>
          </w:p>
        </w:tc>
        <w:tc>
          <w:tcPr>
            <w:tcW w:type="dxa" w:w="2160"/>
          </w:tcPr>
          <w:p>
            <w:r/>
            <w:r>
              <w:rPr>
                <w:sz w:val="19"/>
              </w:rPr>
              <w:t>[CCB Chair Placeholder]</w:t>
            </w:r>
          </w:p>
        </w:tc>
        <w:tc>
          <w:tcPr>
            <w:tcW w:type="dxa" w:w="2160"/>
          </w:tcPr>
          <w:p>
            <w:r/>
            <w:r>
              <w:rPr>
                <w:sz w:val="19"/>
              </w:rPr>
              <w:t>Monthly</w:t>
            </w:r>
          </w:p>
        </w:tc>
        <w:tc>
          <w:tcPr>
            <w:tcW w:type="dxa" w:w="2160"/>
          </w:tcPr>
          <w:p>
            <w:r/>
            <w:r>
              <w:rPr>
                <w:sz w:val="19"/>
              </w:rPr>
              <w:t>Change approvals/disapprovals, baseline updates</w:t>
            </w:r>
          </w:p>
        </w:tc>
      </w:tr>
      <w:tr>
        <w:tc>
          <w:tcPr>
            <w:tcW w:type="dxa" w:w="2160"/>
          </w:tcPr>
          <w:p>
            <w:r/>
            <w:r>
              <w:rPr>
                <w:sz w:val="19"/>
              </w:rPr>
              <w:t>Overarching IPT (OIPT)</w:t>
            </w:r>
          </w:p>
        </w:tc>
        <w:tc>
          <w:tcPr>
            <w:tcW w:type="dxa" w:w="2160"/>
          </w:tcPr>
          <w:p>
            <w:r/>
            <w:r>
              <w:rPr>
                <w:sz w:val="19"/>
              </w:rPr>
              <w:t>[Program Office Lead Placeholder]</w:t>
            </w:r>
          </w:p>
        </w:tc>
        <w:tc>
          <w:tcPr>
            <w:tcW w:type="dxa" w:w="2160"/>
          </w:tcPr>
          <w:p>
            <w:r/>
            <w:r>
              <w:rPr>
                <w:sz w:val="19"/>
              </w:rPr>
              <w:t>Monthly</w:t>
            </w:r>
          </w:p>
        </w:tc>
        <w:tc>
          <w:tcPr>
            <w:tcW w:type="dxa" w:w="2160"/>
          </w:tcPr>
          <w:p>
            <w:r/>
            <w:r>
              <w:rPr>
                <w:sz w:val="19"/>
              </w:rPr>
              <w:t>Cross-organization integration, risk review</w:t>
            </w:r>
          </w:p>
        </w:tc>
      </w:tr>
      <w:tr>
        <w:tc>
          <w:tcPr>
            <w:tcW w:type="dxa" w:w="2160"/>
          </w:tcPr>
          <w:p>
            <w:r/>
            <w:r>
              <w:rPr>
                <w:sz w:val="19"/>
              </w:rPr>
              <w:t>Working IPTs (WIPTs)</w:t>
            </w:r>
          </w:p>
        </w:tc>
        <w:tc>
          <w:tcPr>
            <w:tcW w:type="dxa" w:w="2160"/>
          </w:tcPr>
          <w:p>
            <w:r/>
            <w:r>
              <w:rPr>
                <w:sz w:val="19"/>
              </w:rPr>
              <w:t>[WIPT Leads Placeholder]</w:t>
            </w:r>
          </w:p>
        </w:tc>
        <w:tc>
          <w:tcPr>
            <w:tcW w:type="dxa" w:w="2160"/>
          </w:tcPr>
          <w:p>
            <w:r/>
            <w:r>
              <w:rPr>
                <w:sz w:val="19"/>
              </w:rPr>
              <w:t>Bi-weekly</w:t>
            </w:r>
          </w:p>
        </w:tc>
        <w:tc>
          <w:tcPr>
            <w:tcW w:type="dxa" w:w="2160"/>
          </w:tcPr>
          <w:p>
            <w:r/>
            <w:r>
              <w:rPr>
                <w:sz w:val="19"/>
              </w:rPr>
              <w:t>Technical resolution, intake triage, action burn-down</w:t>
            </w:r>
          </w:p>
        </w:tc>
      </w:tr>
      <w:tr>
        <w:tc>
          <w:tcPr>
            <w:tcW w:type="dxa" w:w="2160"/>
          </w:tcPr>
          <w:p>
            <w:r/>
            <w:r>
              <w:rPr>
                <w:sz w:val="19"/>
              </w:rPr>
              <w:t>Availability Integration Working Group</w:t>
            </w:r>
          </w:p>
        </w:tc>
        <w:tc>
          <w:tcPr>
            <w:tcW w:type="dxa" w:w="2160"/>
          </w:tcPr>
          <w:p>
            <w:r/>
            <w:r>
              <w:rPr>
                <w:sz w:val="19"/>
              </w:rPr>
              <w:t>[Availability Lead Placeholder]</w:t>
            </w:r>
          </w:p>
        </w:tc>
        <w:tc>
          <w:tcPr>
            <w:tcW w:type="dxa" w:w="2160"/>
          </w:tcPr>
          <w:p>
            <w:r/>
            <w:r>
              <w:rPr>
                <w:sz w:val="19"/>
              </w:rPr>
              <w:t>Bi-weekly during planning windows</w:t>
            </w:r>
          </w:p>
        </w:tc>
        <w:tc>
          <w:tcPr>
            <w:tcW w:type="dxa" w:w="2160"/>
          </w:tcPr>
          <w:p>
            <w:r/>
            <w:r>
              <w:rPr>
                <w:sz w:val="19"/>
              </w:rPr>
              <w:t>Work package sequencing, access deconfliction</w:t>
            </w:r>
          </w:p>
        </w:tc>
      </w:tr>
      <w:tr>
        <w:tc>
          <w:tcPr>
            <w:tcW w:type="dxa" w:w="2160"/>
          </w:tcPr>
          <w:p>
            <w:r/>
            <w:r>
              <w:rPr>
                <w:sz w:val="19"/>
              </w:rPr>
              <w:t>Readiness Review Board</w:t>
            </w:r>
          </w:p>
        </w:tc>
        <w:tc>
          <w:tcPr>
            <w:tcW w:type="dxa" w:w="2160"/>
          </w:tcPr>
          <w:p>
            <w:r/>
            <w:r>
              <w:rPr>
                <w:sz w:val="19"/>
              </w:rPr>
              <w:t>[TYCOM N43 Placeholder]</w:t>
            </w:r>
          </w:p>
        </w:tc>
        <w:tc>
          <w:tcPr>
            <w:tcW w:type="dxa" w:w="2160"/>
          </w:tcPr>
          <w:p>
            <w:r/>
            <w:r>
              <w:rPr>
                <w:sz w:val="19"/>
              </w:rPr>
              <w:t>Per availability milestone</w:t>
            </w:r>
          </w:p>
        </w:tc>
        <w:tc>
          <w:tcPr>
            <w:tcW w:type="dxa" w:w="2160"/>
          </w:tcPr>
          <w:p>
            <w:r/>
            <w:r>
              <w:rPr>
                <w:sz w:val="19"/>
              </w:rPr>
              <w:t>Modernization readiness assessments, certification recommendations</w:t>
            </w:r>
          </w:p>
        </w:tc>
      </w:tr>
    </w:tbl>
    <w:p>
      <w:pPr>
        <w:pStyle w:val="Heading1"/>
      </w:pPr>
      <w:r>
        <w:t>5. Decision Authorities</w:t>
      </w:r>
    </w:p>
    <w:p>
      <w:r>
        <w:t>Decision authority is tiered by impact. Thresholds below are placeholders to be tailored by the signing authorities.</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fill="D9E2F3"/>
          </w:tcPr>
          <w:p>
            <w:r/>
            <w:r>
              <w:rPr>
                <w:b/>
                <w:color w:val="1F3A5F"/>
                <w:sz w:val="19"/>
              </w:rPr>
              <w:t>Tier</w:t>
            </w:r>
          </w:p>
        </w:tc>
        <w:tc>
          <w:tcPr>
            <w:tcW w:type="dxa" w:w="2160"/>
            <w:shd w:val="clear" w:fill="D9E2F3"/>
          </w:tcPr>
          <w:p>
            <w:r/>
            <w:r>
              <w:rPr>
                <w:b/>
                <w:color w:val="1F3A5F"/>
                <w:sz w:val="19"/>
              </w:rPr>
              <w:t>Decision Type</w:t>
            </w:r>
          </w:p>
        </w:tc>
        <w:tc>
          <w:tcPr>
            <w:tcW w:type="dxa" w:w="2160"/>
            <w:shd w:val="clear" w:fill="D9E2F3"/>
          </w:tcPr>
          <w:p>
            <w:r/>
            <w:r>
              <w:rPr>
                <w:b/>
                <w:color w:val="1F3A5F"/>
                <w:sz w:val="19"/>
              </w:rPr>
              <w:t>Authority</w:t>
            </w:r>
          </w:p>
        </w:tc>
        <w:tc>
          <w:tcPr>
            <w:tcW w:type="dxa" w:w="2160"/>
            <w:shd w:val="clear" w:fill="D9E2F3"/>
          </w:tcPr>
          <w:p>
            <w:r/>
            <w:r>
              <w:rPr>
                <w:b/>
                <w:color w:val="1F3A5F"/>
                <w:sz w:val="19"/>
              </w:rPr>
              <w:t>Documentation</w:t>
            </w:r>
          </w:p>
        </w:tc>
      </w:tr>
      <w:tr>
        <w:tc>
          <w:tcPr>
            <w:tcW w:type="dxa" w:w="2160"/>
          </w:tcPr>
          <w:p>
            <w:r/>
            <w:r>
              <w:rPr>
                <w:sz w:val="19"/>
              </w:rPr>
              <w:t>1</w:t>
            </w:r>
          </w:p>
        </w:tc>
        <w:tc>
          <w:tcPr>
            <w:tcW w:type="dxa" w:w="2160"/>
          </w:tcPr>
          <w:p>
            <w:r/>
            <w:r>
              <w:rPr>
                <w:sz w:val="19"/>
              </w:rPr>
              <w:t>Class-level baseline changes; cross-hull schedule impacts</w:t>
            </w:r>
          </w:p>
        </w:tc>
        <w:tc>
          <w:tcPr>
            <w:tcW w:type="dxa" w:w="2160"/>
          </w:tcPr>
          <w:p>
            <w:r/>
            <w:r>
              <w:rPr>
                <w:sz w:val="19"/>
              </w:rPr>
              <w:t>Executive Steering Board</w:t>
            </w:r>
          </w:p>
        </w:tc>
        <w:tc>
          <w:tcPr>
            <w:tcW w:type="dxa" w:w="2160"/>
          </w:tcPr>
          <w:p>
            <w:r/>
            <w:r>
              <w:rPr>
                <w:sz w:val="19"/>
              </w:rPr>
              <w:t>Decision Record + CCB minutes</w:t>
            </w:r>
          </w:p>
        </w:tc>
      </w:tr>
      <w:tr>
        <w:tc>
          <w:tcPr>
            <w:tcW w:type="dxa" w:w="2160"/>
          </w:tcPr>
          <w:p>
            <w:r/>
            <w:r>
              <w:rPr>
                <w:sz w:val="19"/>
              </w:rPr>
              <w:t>2</w:t>
            </w:r>
          </w:p>
        </w:tc>
        <w:tc>
          <w:tcPr>
            <w:tcW w:type="dxa" w:w="2160"/>
          </w:tcPr>
          <w:p>
            <w:r/>
            <w:r>
              <w:rPr>
                <w:sz w:val="19"/>
              </w:rPr>
              <w:t>Single-hull configuration changes within approved baseline</w:t>
            </w:r>
          </w:p>
        </w:tc>
        <w:tc>
          <w:tcPr>
            <w:tcW w:type="dxa" w:w="2160"/>
          </w:tcPr>
          <w:p>
            <w:r/>
            <w:r>
              <w:rPr>
                <w:sz w:val="19"/>
              </w:rPr>
              <w:t>C5IMP CCB</w:t>
            </w:r>
          </w:p>
        </w:tc>
        <w:tc>
          <w:tcPr>
            <w:tcW w:type="dxa" w:w="2160"/>
          </w:tcPr>
          <w:p>
            <w:r/>
            <w:r>
              <w:rPr>
                <w:sz w:val="19"/>
              </w:rPr>
              <w:t>Decision Record + CCB minutes</w:t>
            </w:r>
          </w:p>
        </w:tc>
      </w:tr>
      <w:tr>
        <w:tc>
          <w:tcPr>
            <w:tcW w:type="dxa" w:w="2160"/>
          </w:tcPr>
          <w:p>
            <w:r/>
            <w:r>
              <w:rPr>
                <w:sz w:val="19"/>
              </w:rPr>
              <w:t>3</w:t>
            </w:r>
          </w:p>
        </w:tc>
        <w:tc>
          <w:tcPr>
            <w:tcW w:type="dxa" w:w="2160"/>
          </w:tcPr>
          <w:p>
            <w:r/>
            <w:r>
              <w:rPr>
                <w:sz w:val="19"/>
              </w:rPr>
              <w:t>Administrative / documentation-only changes</w:t>
            </w:r>
          </w:p>
        </w:tc>
        <w:tc>
          <w:tcPr>
            <w:tcW w:type="dxa" w:w="2160"/>
          </w:tcPr>
          <w:p>
            <w:r/>
            <w:r>
              <w:rPr>
                <w:sz w:val="19"/>
              </w:rPr>
              <w:t>WIPT Lead with CCB notification</w:t>
            </w:r>
          </w:p>
        </w:tc>
        <w:tc>
          <w:tcPr>
            <w:tcW w:type="dxa" w:w="2160"/>
          </w:tcPr>
          <w:p>
            <w:r/>
            <w:r>
              <w:rPr>
                <w:sz w:val="19"/>
              </w:rPr>
              <w:t>Decision Log entry</w:t>
            </w:r>
          </w:p>
        </w:tc>
      </w:tr>
      <w:tr>
        <w:tc>
          <w:tcPr>
            <w:tcW w:type="dxa" w:w="2160"/>
          </w:tcPr>
          <w:p>
            <w:r/>
            <w:r>
              <w:rPr>
                <w:sz w:val="19"/>
              </w:rPr>
              <w:t>4</w:t>
            </w:r>
          </w:p>
        </w:tc>
        <w:tc>
          <w:tcPr>
            <w:tcW w:type="dxa" w:w="2160"/>
          </w:tcPr>
          <w:p>
            <w:r/>
            <w:r>
              <w:rPr>
                <w:sz w:val="19"/>
              </w:rPr>
              <w:t>Emergent installation-period field changes</w:t>
            </w:r>
          </w:p>
        </w:tc>
        <w:tc>
          <w:tcPr>
            <w:tcW w:type="dxa" w:w="2160"/>
          </w:tcPr>
          <w:p>
            <w:r/>
            <w:r>
              <w:rPr>
                <w:sz w:val="19"/>
              </w:rPr>
              <w:t>[On-site Authority Placeholder] with 72-hr CCB report</w:t>
            </w:r>
          </w:p>
        </w:tc>
        <w:tc>
          <w:tcPr>
            <w:tcW w:type="dxa" w:w="2160"/>
          </w:tcPr>
          <w:p>
            <w:r/>
            <w:r>
              <w:rPr>
                <w:sz w:val="19"/>
              </w:rPr>
              <w:t>Decision Record (expedited)</w:t>
            </w:r>
          </w:p>
        </w:tc>
      </w:tr>
    </w:tbl>
    <w:p>
      <w:pPr>
        <w:pStyle w:val="Heading1"/>
      </w:pPr>
      <w:r>
        <w:t>6. Stakeholder Roles and Responsibilities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fill="D9E2F3"/>
          </w:tcPr>
          <w:p>
            <w:r/>
            <w:r>
              <w:rPr>
                <w:b/>
                <w:color w:val="1F3A5F"/>
                <w:sz w:val="19"/>
              </w:rPr>
              <w:t>Organization</w:t>
            </w:r>
          </w:p>
        </w:tc>
        <w:tc>
          <w:tcPr>
            <w:tcW w:type="dxa" w:w="4320"/>
            <w:shd w:val="clear" w:fill="D9E2F3"/>
          </w:tcPr>
          <w:p>
            <w:r/>
            <w:r>
              <w:rPr>
                <w:b/>
                <w:color w:val="1F3A5F"/>
                <w:sz w:val="19"/>
              </w:rPr>
              <w:t>Role Summary</w:t>
            </w:r>
          </w:p>
        </w:tc>
      </w:tr>
      <w:tr>
        <w:tc>
          <w:tcPr>
            <w:tcW w:type="dxa" w:w="4320"/>
          </w:tcPr>
          <w:p>
            <w:r/>
            <w:r>
              <w:rPr>
                <w:sz w:val="19"/>
              </w:rPr>
              <w:t>TYCOM N6</w:t>
            </w:r>
          </w:p>
        </w:tc>
        <w:tc>
          <w:tcPr>
            <w:tcW w:type="dxa" w:w="4320"/>
          </w:tcPr>
          <w:p>
            <w:r/>
            <w:r>
              <w:rPr>
                <w:sz w:val="19"/>
              </w:rPr>
              <w:t>C5I requirements advocacy; readiness governance; modernization prioritization for fleet alignment</w:t>
            </w:r>
          </w:p>
        </w:tc>
      </w:tr>
      <w:tr>
        <w:tc>
          <w:tcPr>
            <w:tcW w:type="dxa" w:w="4320"/>
          </w:tcPr>
          <w:p>
            <w:r/>
            <w:r>
              <w:rPr>
                <w:sz w:val="19"/>
              </w:rPr>
              <w:t>TYCOM N43 / N4</w:t>
            </w:r>
          </w:p>
        </w:tc>
        <w:tc>
          <w:tcPr>
            <w:tcW w:type="dxa" w:w="4320"/>
          </w:tcPr>
          <w:p>
            <w:r/>
            <w:r>
              <w:rPr>
                <w:sz w:val="19"/>
              </w:rPr>
              <w:t>Maintenance and availability alignment; material readiness integration</w:t>
            </w:r>
          </w:p>
        </w:tc>
      </w:tr>
      <w:tr>
        <w:tc>
          <w:tcPr>
            <w:tcW w:type="dxa" w:w="4320"/>
          </w:tcPr>
          <w:p>
            <w:r/>
            <w:r>
              <w:rPr>
                <w:sz w:val="19"/>
              </w:rPr>
              <w:t>NAVSEA Carrier Modernization</w:t>
            </w:r>
          </w:p>
        </w:tc>
        <w:tc>
          <w:tcPr>
            <w:tcW w:type="dxa" w:w="4320"/>
          </w:tcPr>
          <w:p>
            <w:r/>
            <w:r>
              <w:rPr>
                <w:sz w:val="19"/>
              </w:rPr>
              <w:t>Ship integration engineering; alteration management; availability work package authority</w:t>
            </w:r>
          </w:p>
        </w:tc>
      </w:tr>
      <w:tr>
        <w:tc>
          <w:tcPr>
            <w:tcW w:type="dxa" w:w="4320"/>
          </w:tcPr>
          <w:p>
            <w:r/>
            <w:r>
              <w:rPr>
                <w:sz w:val="19"/>
              </w:rPr>
              <w:t>PEO Carriers</w:t>
            </w:r>
          </w:p>
        </w:tc>
        <w:tc>
          <w:tcPr>
            <w:tcW w:type="dxa" w:w="4320"/>
          </w:tcPr>
          <w:p>
            <w:r/>
            <w:r>
              <w:rPr>
                <w:sz w:val="19"/>
              </w:rPr>
              <w:t>Platform-level acquisition coordination; cross-program integration</w:t>
            </w:r>
          </w:p>
        </w:tc>
      </w:tr>
      <w:tr>
        <w:tc>
          <w:tcPr>
            <w:tcW w:type="dxa" w:w="4320"/>
          </w:tcPr>
          <w:p>
            <w:r/>
            <w:r>
              <w:rPr>
                <w:sz w:val="19"/>
              </w:rPr>
              <w:t>PEO C4I / PMW</w:t>
            </w:r>
          </w:p>
        </w:tc>
        <w:tc>
          <w:tcPr>
            <w:tcW w:type="dxa" w:w="4320"/>
          </w:tcPr>
          <w:p>
            <w:r/>
            <w:r>
              <w:rPr>
                <w:sz w:val="19"/>
              </w:rPr>
              <w:t>C5I system acquisition, fielding plans, installation requirements, ILS products</w:t>
            </w:r>
          </w:p>
        </w:tc>
      </w:tr>
      <w:tr>
        <w:tc>
          <w:tcPr>
            <w:tcW w:type="dxa" w:w="4320"/>
          </w:tcPr>
          <w:p>
            <w:r/>
            <w:r>
              <w:rPr>
                <w:sz w:val="19"/>
              </w:rPr>
              <w:t>Ship's Force C5I</w:t>
            </w:r>
          </w:p>
        </w:tc>
        <w:tc>
          <w:tcPr>
            <w:tcW w:type="dxa" w:w="4320"/>
          </w:tcPr>
          <w:p>
            <w:r/>
            <w:r>
              <w:rPr>
                <w:sz w:val="19"/>
              </w:rPr>
              <w:t>Shipboard impact assessment; crew training and operational acceptance; tag-out and access support</w:t>
            </w:r>
          </w:p>
        </w:tc>
      </w:tr>
      <w:tr>
        <w:tc>
          <w:tcPr>
            <w:tcW w:type="dxa" w:w="4320"/>
          </w:tcPr>
          <w:p>
            <w:r/>
            <w:r>
              <w:rPr>
                <w:sz w:val="19"/>
              </w:rPr>
              <w:t>RMC / Shipyard</w:t>
            </w:r>
          </w:p>
        </w:tc>
        <w:tc>
          <w:tcPr>
            <w:tcW w:type="dxa" w:w="4320"/>
          </w:tcPr>
          <w:p>
            <w:r/>
            <w:r>
              <w:rPr>
                <w:sz w:val="19"/>
              </w:rPr>
              <w:t>Installation execution; production scheduling; test support</w:t>
            </w:r>
          </w:p>
        </w:tc>
      </w:tr>
      <w:tr>
        <w:tc>
          <w:tcPr>
            <w:tcW w:type="dxa" w:w="4320"/>
          </w:tcPr>
          <w:p>
            <w:r/>
            <w:r>
              <w:rPr>
                <w:sz w:val="19"/>
              </w:rPr>
              <w:t>Program Office Action Officers</w:t>
            </w:r>
          </w:p>
        </w:tc>
        <w:tc>
          <w:tcPr>
            <w:tcW w:type="dxa" w:w="4320"/>
          </w:tcPr>
          <w:p>
            <w:r/>
            <w:r>
              <w:rPr>
                <w:sz w:val="19"/>
              </w:rPr>
              <w:t>Intake processing; tracker maintenance; action item management; meeting support</w:t>
            </w:r>
          </w:p>
        </w:tc>
      </w:tr>
      <w:tr>
        <w:tc>
          <w:tcPr>
            <w:tcW w:type="dxa" w:w="4320"/>
          </w:tcPr>
          <w:p>
            <w:r/>
            <w:r>
              <w:rPr>
                <w:sz w:val="19"/>
              </w:rPr>
              <w:t>CCB Members</w:t>
            </w:r>
          </w:p>
        </w:tc>
        <w:tc>
          <w:tcPr>
            <w:tcW w:type="dxa" w:w="4320"/>
          </w:tcPr>
          <w:p>
            <w:r/>
            <w:r>
              <w:rPr>
                <w:sz w:val="19"/>
              </w:rPr>
              <w:t>Change evaluation and disposition per CCB Charter</w:t>
            </w:r>
          </w:p>
        </w:tc>
      </w:tr>
      <w:tr>
        <w:tc>
          <w:tcPr>
            <w:tcW w:type="dxa" w:w="4320"/>
          </w:tcPr>
          <w:p>
            <w:r/>
            <w:r>
              <w:rPr>
                <w:sz w:val="19"/>
              </w:rPr>
              <w:t>Availability Planning Teams</w:t>
            </w:r>
          </w:p>
        </w:tc>
        <w:tc>
          <w:tcPr>
            <w:tcW w:type="dxa" w:w="4320"/>
          </w:tcPr>
          <w:p>
            <w:r/>
            <w:r>
              <w:rPr>
                <w:sz w:val="19"/>
              </w:rPr>
              <w:t>Integration of C5I work into availability work packages and milestones</w:t>
            </w:r>
          </w:p>
        </w:tc>
      </w:tr>
    </w:tbl>
    <w:p>
      <w:pPr>
        <w:pStyle w:val="Heading1"/>
      </w:pPr>
      <w:r>
        <w:t>7. Authorities and References</w:t>
      </w:r>
    </w:p>
    <w:p>
      <w:pPr>
        <w:pStyle w:val="ListBullet"/>
      </w:pPr>
      <w:r>
        <w:t>[Reference Placeholder: Fleet Modernization Program guidance]</w:t>
      </w:r>
    </w:p>
    <w:p>
      <w:pPr>
        <w:pStyle w:val="ListBullet"/>
      </w:pPr>
      <w:r>
        <w:t>[Reference Placeholder: NAVSEA alteration management instruction]</w:t>
      </w:r>
    </w:p>
    <w:p>
      <w:pPr>
        <w:pStyle w:val="ListBullet"/>
      </w:pPr>
      <w:r>
        <w:t>[Reference Placeholder: TYCOM C5I readiness instruction]</w:t>
      </w:r>
    </w:p>
    <w:p>
      <w:pPr>
        <w:pStyle w:val="ListBullet"/>
      </w:pPr>
      <w:r>
        <w:t>[Reference Placeholder: Configuration management policy]</w:t>
      </w:r>
    </w:p>
    <w:p>
      <w:pPr>
        <w:pStyle w:val="ListBullet"/>
      </w:pPr>
      <w:r>
        <w:t>[Reference Placeholder: Cybersecurity / RMF guidance]</w:t>
      </w:r>
    </w:p>
    <w:p>
      <w:pPr>
        <w:pStyle w:val="Heading1"/>
      </w:pPr>
      <w:r>
        <w:t>8. Charter Review and Maintenance</w:t>
      </w:r>
    </w:p>
    <w:p>
      <w:r>
        <w:t>This Charter is reviewed annually or upon significant program change. The C5IMP administrative lead maintains the controlled copy on the C5IMP SharePoint site; printed copies are uncontrolled.</w:t>
      </w:r>
    </w:p>
    <w:p>
      <w:pPr>
        <w:pStyle w:val="Heading1"/>
      </w:pPr>
      <w:r>
        <w:t>Approval</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4032"/>
            <w:shd w:val="clear" w:fill="D9E2F3"/>
          </w:tcPr>
          <w:p>
            <w:r/>
            <w:r>
              <w:rPr>
                <w:b/>
                <w:color w:val="1F3A5F"/>
                <w:sz w:val="19"/>
              </w:rPr>
              <w:t>Role / Organization</w:t>
            </w:r>
          </w:p>
        </w:tc>
        <w:tc>
          <w:tcPr>
            <w:tcW w:type="dxa" w:w="2304"/>
            <w:shd w:val="clear" w:fill="D9E2F3"/>
          </w:tcPr>
          <w:p>
            <w:r/>
            <w:r>
              <w:rPr>
                <w:b/>
                <w:color w:val="1F3A5F"/>
                <w:sz w:val="19"/>
              </w:rPr>
              <w:t>Name</w:t>
            </w:r>
          </w:p>
        </w:tc>
        <w:tc>
          <w:tcPr>
            <w:tcW w:type="dxa" w:w="1872"/>
            <w:shd w:val="clear" w:fill="D9E2F3"/>
          </w:tcPr>
          <w:p>
            <w:r/>
            <w:r>
              <w:rPr>
                <w:b/>
                <w:color w:val="1F3A5F"/>
                <w:sz w:val="19"/>
              </w:rPr>
              <w:t>Signature</w:t>
            </w:r>
          </w:p>
        </w:tc>
        <w:tc>
          <w:tcPr>
            <w:tcW w:type="dxa" w:w="1296"/>
            <w:shd w:val="clear" w:fill="D9E2F3"/>
          </w:tcPr>
          <w:p>
            <w:r/>
            <w:r>
              <w:rPr>
                <w:b/>
                <w:color w:val="1F3A5F"/>
                <w:sz w:val="19"/>
              </w:rPr>
              <w:t>Date</w:t>
            </w:r>
          </w:p>
        </w:tc>
      </w:tr>
      <w:tr>
        <w:tc>
          <w:tcPr>
            <w:tcW w:type="dxa" w:w="4032"/>
          </w:tcPr>
          <w:p>
            <w:r/>
            <w:r>
              <w:rPr>
                <w:sz w:val="19"/>
              </w:rPr>
              <w:t>TYCOM N6 (or designated representative)</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NAVSEA Carrier Modernization Lead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PEO Carriers Representative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PEO C4I / PMW Representative [Code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C5IMP-CHTR-001  |  Page </w:t>
    </w:r>
    <w:r>
      <w:fldChar w:fldCharType="begin"/>
      <w:instrText xml:space="preserve"> PAGE </w:instrText>
      <w:fldChar w:fldCharType="end"/>
    </w:r>
    <w:r>
      <w:rPr>
        <w:color w:val="595959"/>
        <w:sz w:val="14"/>
      </w:rPr>
      <w:t xml:space="preserve">  |  DISTRIBUTION STATEMENT PLACEHOLDER - Insert appropriate distribution statement prior to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1F3A5F"/>
        <w:sz w:val="18"/>
      </w:rPr>
      <w:t>CVN C5IMP Program Charter</w:t>
      <w:br/>
    </w:r>
    <w:r>
      <w:rPr>
        <w:color w:val="595959"/>
        <w:sz w:val="16"/>
      </w:rPr>
      <w:t>DRAFT TEMPLATE - NOT OFFICIAL POLICY - UNCLASSIFIED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