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8860B"/>
          <w:sz w:val="26"/>
        </w:rPr>
        <w:br/>
        <w:br/>
        <w:t>AIRCRAFT CARRIER C5I MODERNIZATION PROGRAM (C5IMP)</w:t>
      </w:r>
    </w:p>
    <w:p>
      <w:pPr>
        <w:pStyle w:val="Title"/>
        <w:jc w:val="center"/>
      </w:pPr>
      <w:r>
        <w:t>CVN C5IMP Governance Standard Operating Procedure</w:t>
      </w:r>
    </w:p>
    <w:p>
      <w:pPr>
        <w:jc w:val="center"/>
      </w:pPr>
      <w:r>
        <w:rPr>
          <w:i/>
          <w:color w:val="595959"/>
          <w:sz w:val="24"/>
        </w:rPr>
        <w:t>Battle Rhythm, Decision Workflow, Escalation, and Reporting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16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Document Control Field</w:t>
            </w:r>
          </w:p>
        </w:tc>
        <w:tc>
          <w:tcPr>
            <w:tcW w:type="dxa" w:w="6192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Entry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Document Number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C5IMP-SOP-001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Version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0.1 (DRAFT)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Effective Date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Prepared By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[Action Officer Name / Code]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Reviewed By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[Branch Head / Code]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Approved By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[Approval Authority / Code]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Next Review Date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Classification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UNCLASSIFIED (template) - [Insert handling caveat placeholder]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SharePoint Location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[C5IMP Site / Library / Folder]</w:t>
            </w:r>
          </w:p>
        </w:tc>
      </w:tr>
    </w:tbl>
    <w:p>
      <w:pPr>
        <w:jc w:val="center"/>
      </w:pPr>
      <w:r>
        <w:rPr>
          <w:b/>
          <w:color w:val="595959"/>
          <w:sz w:val="18"/>
        </w:rPr>
        <w:br/>
        <w:t>DRAFT TEMPLATE - NOT OFFICIAL POLICY - UNCLASSIFIED</w:t>
        <w:br/>
        <w:t>DISTRIBUTION STATEMENT PLACEHOLDER - Insert appropriate distribution statement prior to release.</w:t>
      </w:r>
    </w:p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Version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Date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Author / Code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Description of Change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Approved By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0.1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[DD MMM YYYY]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[Name / Code]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Initial draft template.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[Name / Code]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1. Purpose</w:t>
      </w:r>
    </w:p>
    <w:p>
      <w:r>
        <w:t>This SOP prescribes the recurring battle rhythm, decision workflow, escalation process, meeting cadence, reporting requirements, and coordination responsibilities for CVN C5IMP governance.</w:t>
      </w:r>
    </w:p>
    <w:p>
      <w:pPr>
        <w:pStyle w:val="Heading1"/>
      </w:pPr>
      <w:r>
        <w:t>2. Battle Rhythm</w:t>
      </w:r>
    </w:p>
    <w:p>
      <w:r>
        <w:t>The standard battle rhythm below is maintained in the Meeting Battle Rhythm Tracker on the C5IMP SharePoint site.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Event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Cadence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Day/Time (Placeholder)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Lead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Required Inputs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Intake Triage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Weekly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[Tue 0900]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Action Officer Lead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New intake forms; triage worksheet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WIPT Sessions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Bi-weekly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[Wed 1300]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WIPT Leads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Action tracker; technical issue papers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OIPT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Monthly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[1st Thu 1000]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Program Office Lead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WIPT rollups; risk register; schedule status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CCB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Monthly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[3rd Thu 1000]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CCB Chair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Change packages; evaluation memoranda; pre-brief deck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Readiness Review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Per milestone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[Per availability schedule]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TYCOM N43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Readiness assessment workbook; system status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Executive Steering Board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Quarterly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[Last Wed of quarter]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[Flag-level Placeholder]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Program dashboard; escalation slate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Modernization Status Report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Monthly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[5th business day]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Action Officer Lead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Master tracker; decision log</w:t>
            </w:r>
          </w:p>
        </w:tc>
      </w:tr>
    </w:tbl>
    <w:p>
      <w:pPr>
        <w:pStyle w:val="Heading1"/>
      </w:pPr>
      <w:r>
        <w:t>3. Decision Workflow</w:t>
      </w:r>
    </w:p>
    <w:p>
      <w:r>
        <w:t>All proposed C5I changes follow the standard lifecycle:</w:t>
      </w:r>
    </w:p>
    <w:p>
      <w:pPr>
        <w:pStyle w:val="ListBullet"/>
      </w:pPr>
      <w:r>
        <w:t>Step 1 - Intake: Sponsor submits C5I Modernization Intake Form via the SharePoint intake library/list.</w:t>
      </w:r>
    </w:p>
    <w:p>
      <w:pPr>
        <w:pStyle w:val="ListBullet"/>
      </w:pPr>
      <w:r>
        <w:t>Step 2 - Triage: Action officers validate completeness, assign a tracking number, and route to the cognizant WIPT within 5 business days.</w:t>
      </w:r>
    </w:p>
    <w:p>
      <w:pPr>
        <w:pStyle w:val="ListBullet"/>
      </w:pPr>
      <w:r>
        <w:t>Step 3 - Stakeholder Review: WIPT coordinates the Change Evaluation Memorandum across technical, schedule, cost, manpower, training, cybersecurity, logistics, and documentation reviewers.</w:t>
      </w:r>
    </w:p>
    <w:p>
      <w:pPr>
        <w:pStyle w:val="ListBullet"/>
      </w:pPr>
      <w:r>
        <w:t>Step 4 - CCB / Decision: CCB dispositions the change per the CCB Charter; the decision is captured in a Decision Record.</w:t>
      </w:r>
    </w:p>
    <w:p>
      <w:pPr>
        <w:pStyle w:val="ListBullet"/>
      </w:pPr>
      <w:r>
        <w:t>Step 5 - Schedule Integration: Approved changes are integrated into the Availability Integration Tracker and availability work packages.</w:t>
      </w:r>
    </w:p>
    <w:p>
      <w:pPr>
        <w:pStyle w:val="ListBullet"/>
      </w:pPr>
      <w:r>
        <w:t>Step 6 - Execution: Installation and test activities tracked through the Master Modernization Tracker.</w:t>
      </w:r>
    </w:p>
    <w:p>
      <w:pPr>
        <w:pStyle w:val="ListBullet"/>
      </w:pPr>
      <w:r>
        <w:t>Step 7 - Readiness Assessment: Modernization Readiness Assessment completed prior to operational turnover.</w:t>
      </w:r>
    </w:p>
    <w:p>
      <w:pPr>
        <w:pStyle w:val="ListBullet"/>
      </w:pPr>
      <w:r>
        <w:t>Step 8 - Lessons Learned: After Action Report filed; baseline registers updated.</w:t>
      </w:r>
    </w:p>
    <w:p>
      <w:pPr>
        <w:pStyle w:val="Heading1"/>
      </w:pPr>
      <w:r>
        <w:t>4. Escalation Process</w:t>
      </w:r>
    </w:p>
    <w:p>
      <w:r>
        <w:t>Issues unresolved at a given tier escalate as follows. Escalation packages must include a one-page issue summary, options, and a recommended course of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Trigger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From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To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Timeline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Technical disagreement unresolved after two WIPT cycles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WIPT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OIPT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Next OIPT or within 10 business days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Cross-program resource or schedule conflict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OIPT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Executive Steering Board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Next ESB or out-of-cycle if availability-critical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Decision overdue beyond agreed need date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Action Officer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CCB Chair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Within 5 business days of breach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Safety or cybersecurity stop-work condition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Any stakeholder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[Designated Authority Placeholder]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Immediate</w:t>
            </w:r>
          </w:p>
        </w:tc>
      </w:tr>
    </w:tbl>
    <w:p>
      <w:pPr>
        <w:pStyle w:val="Heading1"/>
      </w:pPr>
      <w:r>
        <w:t>5. Reporting Requirements</w:t>
      </w:r>
    </w:p>
    <w:p>
      <w:pPr>
        <w:pStyle w:val="ListBullet"/>
      </w:pPr>
      <w:r>
        <w:t>Monthly Modernization Status Report: rollup of tracker status, decisions, risks, and upcoming milestones; posted to the SharePoint Modernization Dashboard.</w:t>
      </w:r>
    </w:p>
    <w:p>
      <w:pPr>
        <w:pStyle w:val="ListBullet"/>
      </w:pPr>
      <w:r>
        <w:t>CCB Minutes: published within 5 business days of each CCB.</w:t>
      </w:r>
    </w:p>
    <w:p>
      <w:pPr>
        <w:pStyle w:val="ListBullet"/>
      </w:pPr>
      <w:r>
        <w:t>Action Item Report: auto-generated views from the Action Item Tracker, reviewed at every WIPT/OIPT.</w:t>
      </w:r>
    </w:p>
    <w:p>
      <w:pPr>
        <w:pStyle w:val="ListBullet"/>
      </w:pPr>
      <w:r>
        <w:t>Readiness Assessment Summary: published at each availability milestone gate.</w:t>
      </w:r>
    </w:p>
    <w:p>
      <w:pPr>
        <w:pStyle w:val="ListBullet"/>
      </w:pPr>
      <w:r>
        <w:t>Quarterly Executive Dashboard: prepared for the Executive Steering Board.</w:t>
      </w:r>
    </w:p>
    <w:p>
      <w:pPr>
        <w:pStyle w:val="Heading1"/>
      </w:pPr>
      <w:r>
        <w:t>6. Coordination Responsibilities</w:t>
      </w:r>
    </w:p>
    <w:p>
      <w:r>
        <w:t>Action officers maintain trackers within 2 business days of any governance event. WIPT leads confirm agenda inputs no later than 3 business days before each session. The SharePoint site is the single authoritative location for all governance artifacts; email attachments are non-authoritative working copies.</w:t>
      </w:r>
    </w:p>
    <w:p>
      <w:pPr>
        <w:pStyle w:val="Heading1"/>
      </w:pPr>
      <w:r>
        <w:t>7. Records Management</w:t>
      </w:r>
    </w:p>
    <w:p>
      <w:r>
        <w:t>All minutes, decision records, and assessment products are filed in the designated SharePoint libraries with required metadata (Hull, System Category, Status, Decision Authority, Review Date). Records disposition follows [Records Schedule Placeholder].</w:t>
      </w:r>
    </w:p>
    <w:p>
      <w:pPr>
        <w:pStyle w:val="Heading1"/>
      </w:pPr>
      <w:r>
        <w:t>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4032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Role / Organization</w:t>
            </w:r>
          </w:p>
        </w:tc>
        <w:tc>
          <w:tcPr>
            <w:tcW w:type="dxa" w:w="2304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Name</w:t>
            </w:r>
          </w:p>
        </w:tc>
        <w:tc>
          <w:tcPr>
            <w:tcW w:type="dxa" w:w="1872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Signature</w:t>
            </w:r>
          </w:p>
        </w:tc>
        <w:tc>
          <w:tcPr>
            <w:tcW w:type="dxa" w:w="1296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Date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TYCOM N6 (or designated representative)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[Name]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NAVSEA Carrier Modernization Lead [Code Placeholder]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[Name]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PEO Carriers Representative [Code Placeholder]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[Name]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PEO C4I / PMW Representative [Code Placeholder]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[Name]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[DD MMM YYYY]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95959"/>
        <w:sz w:val="16"/>
      </w:rPr>
      <w:t xml:space="preserve">C5IMP-SOP-001  |  Page </w:t>
    </w:r>
    <w:r>
      <w:fldChar w:fldCharType="begin"/>
      <w:instrText xml:space="preserve"> PAGE </w:instrText>
      <w:fldChar w:fldCharType="end"/>
    </w:r>
    <w:r>
      <w:rPr>
        <w:color w:val="595959"/>
        <w:sz w:val="14"/>
      </w:rPr>
      <w:t xml:space="preserve">  |  DISTRIBUTION STATEMENT PLACEHOLDER - Insert appropriate distribution statement prior to release.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b/>
        <w:color w:val="1F3A5F"/>
        <w:sz w:val="18"/>
      </w:rPr>
      <w:t>CVN C5IMP Governance Standard Operating Procedure</w:t>
      <w:br/>
    </w:r>
    <w:r>
      <w:rPr>
        <w:color w:val="595959"/>
        <w:sz w:val="16"/>
      </w:rPr>
      <w:t>DRAFT TEMPLATE - NOT OFFICIAL POLICY - UNCLASSIFIED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959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