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br/>
        <w:br/>
        <w:t>AIRCRAFT CARRIER C5I MODERNIZATION PROGRAM (C5IMP)</w:t>
      </w:r>
    </w:p>
    <w:p>
      <w:pPr>
        <w:pStyle w:val="Title"/>
        <w:jc w:val="center"/>
      </w:pPr>
      <w:r>
        <w:t>CVN C5IMP Availability Integration Planning Guide</w:t>
      </w:r>
    </w:p>
    <w:p>
      <w:pPr>
        <w:jc w:val="center"/>
      </w:pPr>
      <w:r>
        <w:rPr>
          <w:i/>
          <w:color w:val="595959"/>
          <w:sz w:val="24"/>
        </w:rPr>
        <w:t>PIA / DPIA / CIA Work Package Integration for C5I Modernization</w:t>
      </w:r>
    </w:p>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168"/>
            <w:shd w:val="clear" w:fill="D9E2F3"/>
          </w:tcPr>
          <w:p>
            <w:r/>
            <w:r>
              <w:rPr>
                <w:b/>
                <w:color w:val="1F3A5F"/>
                <w:sz w:val="19"/>
              </w:rPr>
              <w:t>Document Control Field</w:t>
            </w:r>
          </w:p>
        </w:tc>
        <w:tc>
          <w:tcPr>
            <w:tcW w:type="dxa" w:w="6192"/>
            <w:shd w:val="clear" w:fill="D9E2F3"/>
          </w:tcPr>
          <w:p>
            <w:r/>
            <w:r>
              <w:rPr>
                <w:b/>
                <w:color w:val="1F3A5F"/>
                <w:sz w:val="19"/>
              </w:rPr>
              <w:t>Entry</w:t>
            </w:r>
          </w:p>
        </w:tc>
      </w:tr>
      <w:tr>
        <w:tc>
          <w:tcPr>
            <w:tcW w:type="dxa" w:w="3168"/>
          </w:tcPr>
          <w:p>
            <w:r/>
            <w:r>
              <w:rPr>
                <w:sz w:val="19"/>
              </w:rPr>
              <w:t>Document Number</w:t>
            </w:r>
          </w:p>
        </w:tc>
        <w:tc>
          <w:tcPr>
            <w:tcW w:type="dxa" w:w="6192"/>
          </w:tcPr>
          <w:p>
            <w:r/>
            <w:r>
              <w:rPr>
                <w:sz w:val="19"/>
              </w:rPr>
              <w:t>C5IMP-AIPG-001</w:t>
            </w:r>
          </w:p>
        </w:tc>
      </w:tr>
      <w:tr>
        <w:tc>
          <w:tcPr>
            <w:tcW w:type="dxa" w:w="3168"/>
          </w:tcPr>
          <w:p>
            <w:r/>
            <w:r>
              <w:rPr>
                <w:sz w:val="19"/>
              </w:rPr>
              <w:t>Version</w:t>
            </w:r>
          </w:p>
        </w:tc>
        <w:tc>
          <w:tcPr>
            <w:tcW w:type="dxa" w:w="6192"/>
          </w:tcPr>
          <w:p>
            <w:r/>
            <w:r>
              <w:rPr>
                <w:sz w:val="19"/>
              </w:rPr>
              <w:t>0.1 (DRAFT)</w:t>
            </w:r>
          </w:p>
        </w:tc>
      </w:tr>
      <w:tr>
        <w:tc>
          <w:tcPr>
            <w:tcW w:type="dxa" w:w="3168"/>
          </w:tcPr>
          <w:p>
            <w:r/>
            <w:r>
              <w:rPr>
                <w:sz w:val="19"/>
              </w:rPr>
              <w:t>Effective Date</w:t>
            </w:r>
          </w:p>
        </w:tc>
        <w:tc>
          <w:tcPr>
            <w:tcW w:type="dxa" w:w="6192"/>
          </w:tcPr>
          <w:p>
            <w:r/>
            <w:r>
              <w:rPr>
                <w:sz w:val="19"/>
              </w:rPr>
              <w:t>[DD MMM YYYY]</w:t>
            </w:r>
          </w:p>
        </w:tc>
      </w:tr>
      <w:tr>
        <w:tc>
          <w:tcPr>
            <w:tcW w:type="dxa" w:w="3168"/>
          </w:tcPr>
          <w:p>
            <w:r/>
            <w:r>
              <w:rPr>
                <w:sz w:val="19"/>
              </w:rPr>
              <w:t>Prepared By</w:t>
            </w:r>
          </w:p>
        </w:tc>
        <w:tc>
          <w:tcPr>
            <w:tcW w:type="dxa" w:w="6192"/>
          </w:tcPr>
          <w:p>
            <w:r/>
            <w:r>
              <w:rPr>
                <w:sz w:val="19"/>
              </w:rPr>
              <w:t>[Action Officer Name / Code]</w:t>
            </w:r>
          </w:p>
        </w:tc>
      </w:tr>
      <w:tr>
        <w:tc>
          <w:tcPr>
            <w:tcW w:type="dxa" w:w="3168"/>
          </w:tcPr>
          <w:p>
            <w:r/>
            <w:r>
              <w:rPr>
                <w:sz w:val="19"/>
              </w:rPr>
              <w:t>Reviewed By</w:t>
            </w:r>
          </w:p>
        </w:tc>
        <w:tc>
          <w:tcPr>
            <w:tcW w:type="dxa" w:w="6192"/>
          </w:tcPr>
          <w:p>
            <w:r/>
            <w:r>
              <w:rPr>
                <w:sz w:val="19"/>
              </w:rPr>
              <w:t>[Branch Head / Code]</w:t>
            </w:r>
          </w:p>
        </w:tc>
      </w:tr>
      <w:tr>
        <w:tc>
          <w:tcPr>
            <w:tcW w:type="dxa" w:w="3168"/>
          </w:tcPr>
          <w:p>
            <w:r/>
            <w:r>
              <w:rPr>
                <w:sz w:val="19"/>
              </w:rPr>
              <w:t>Approved By</w:t>
            </w:r>
          </w:p>
        </w:tc>
        <w:tc>
          <w:tcPr>
            <w:tcW w:type="dxa" w:w="6192"/>
          </w:tcPr>
          <w:p>
            <w:r/>
            <w:r>
              <w:rPr>
                <w:sz w:val="19"/>
              </w:rPr>
              <w:t>[Approval Authority / Code]</w:t>
            </w:r>
          </w:p>
        </w:tc>
      </w:tr>
      <w:tr>
        <w:tc>
          <w:tcPr>
            <w:tcW w:type="dxa" w:w="3168"/>
          </w:tcPr>
          <w:p>
            <w:r/>
            <w:r>
              <w:rPr>
                <w:sz w:val="19"/>
              </w:rPr>
              <w:t>Next Review Date</w:t>
            </w:r>
          </w:p>
        </w:tc>
        <w:tc>
          <w:tcPr>
            <w:tcW w:type="dxa" w:w="6192"/>
          </w:tcPr>
          <w:p>
            <w:r/>
            <w:r>
              <w:rPr>
                <w:sz w:val="19"/>
              </w:rPr>
              <w:t>[DD MMM YYYY]</w:t>
            </w:r>
          </w:p>
        </w:tc>
      </w:tr>
      <w:tr>
        <w:tc>
          <w:tcPr>
            <w:tcW w:type="dxa" w:w="3168"/>
          </w:tcPr>
          <w:p>
            <w:r/>
            <w:r>
              <w:rPr>
                <w:sz w:val="19"/>
              </w:rPr>
              <w:t>Classification</w:t>
            </w:r>
          </w:p>
        </w:tc>
        <w:tc>
          <w:tcPr>
            <w:tcW w:type="dxa" w:w="6192"/>
          </w:tcPr>
          <w:p>
            <w:r/>
            <w:r>
              <w:rPr>
                <w:sz w:val="19"/>
              </w:rPr>
              <w:t>UNCLASSIFIED (template) - [Insert handling caveat placeholder]</w:t>
            </w:r>
          </w:p>
        </w:tc>
      </w:tr>
      <w:tr>
        <w:tc>
          <w:tcPr>
            <w:tcW w:type="dxa" w:w="3168"/>
          </w:tcPr>
          <w:p>
            <w:r/>
            <w:r>
              <w:rPr>
                <w:sz w:val="19"/>
              </w:rPr>
              <w:t>SharePoint Location</w:t>
            </w:r>
          </w:p>
        </w:tc>
        <w:tc>
          <w:tcPr>
            <w:tcW w:type="dxa" w:w="6192"/>
          </w:tcPr>
          <w:p>
            <w:r/>
            <w:r>
              <w:rPr>
                <w:sz w:val="19"/>
              </w:rPr>
              <w:t>[C5IMP Site / Library / Folder]</w:t>
            </w:r>
          </w:p>
        </w:tc>
      </w:tr>
    </w:tbl>
    <w:p>
      <w:pPr>
        <w:jc w:val="center"/>
      </w:pPr>
      <w:r>
        <w:rPr>
          <w:b/>
          <w:color w:val="595959"/>
          <w:sz w:val="18"/>
        </w:rPr>
        <w:br/>
        <w:t>DRAFT TEMPLATE - NOT OFFICIAL POLICY - UNCLASSIFIED</w:t>
        <w:br/>
        <w:t>DISTRIBUTION STATEMENT PLACEHOLDER - Insert appropriate distribution statement prior to release.</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728"/>
            <w:shd w:val="clear" w:fill="D9E2F3"/>
          </w:tcPr>
          <w:p>
            <w:r/>
            <w:r>
              <w:rPr>
                <w:b/>
                <w:color w:val="1F3A5F"/>
                <w:sz w:val="19"/>
              </w:rPr>
              <w:t>Version</w:t>
            </w:r>
          </w:p>
        </w:tc>
        <w:tc>
          <w:tcPr>
            <w:tcW w:type="dxa" w:w="1728"/>
            <w:shd w:val="clear" w:fill="D9E2F3"/>
          </w:tcPr>
          <w:p>
            <w:r/>
            <w:r>
              <w:rPr>
                <w:b/>
                <w:color w:val="1F3A5F"/>
                <w:sz w:val="19"/>
              </w:rPr>
              <w:t>Date</w:t>
            </w:r>
          </w:p>
        </w:tc>
        <w:tc>
          <w:tcPr>
            <w:tcW w:type="dxa" w:w="1728"/>
            <w:shd w:val="clear" w:fill="D9E2F3"/>
          </w:tcPr>
          <w:p>
            <w:r/>
            <w:r>
              <w:rPr>
                <w:b/>
                <w:color w:val="1F3A5F"/>
                <w:sz w:val="19"/>
              </w:rPr>
              <w:t>Author / Code</w:t>
            </w:r>
          </w:p>
        </w:tc>
        <w:tc>
          <w:tcPr>
            <w:tcW w:type="dxa" w:w="1728"/>
            <w:shd w:val="clear" w:fill="D9E2F3"/>
          </w:tcPr>
          <w:p>
            <w:r/>
            <w:r>
              <w:rPr>
                <w:b/>
                <w:color w:val="1F3A5F"/>
                <w:sz w:val="19"/>
              </w:rPr>
              <w:t>Description of Change</w:t>
            </w:r>
          </w:p>
        </w:tc>
        <w:tc>
          <w:tcPr>
            <w:tcW w:type="dxa" w:w="1728"/>
            <w:shd w:val="clear" w:fill="D9E2F3"/>
          </w:tcPr>
          <w:p>
            <w:r/>
            <w:r>
              <w:rPr>
                <w:b/>
                <w:color w:val="1F3A5F"/>
                <w:sz w:val="19"/>
              </w:rPr>
              <w:t>Approved By</w:t>
            </w:r>
          </w:p>
        </w:tc>
      </w:tr>
      <w:tr>
        <w:tc>
          <w:tcPr>
            <w:tcW w:type="dxa" w:w="1728"/>
          </w:tcPr>
          <w:p>
            <w:r/>
            <w:r>
              <w:rPr>
                <w:sz w:val="19"/>
              </w:rPr>
              <w:t>0.1</w:t>
            </w:r>
          </w:p>
        </w:tc>
        <w:tc>
          <w:tcPr>
            <w:tcW w:type="dxa" w:w="1728"/>
          </w:tcPr>
          <w:p>
            <w:r/>
            <w:r>
              <w:rPr>
                <w:sz w:val="19"/>
              </w:rPr>
              <w:t>[DD MMM YYYY]</w:t>
            </w:r>
          </w:p>
        </w:tc>
        <w:tc>
          <w:tcPr>
            <w:tcW w:type="dxa" w:w="1728"/>
          </w:tcPr>
          <w:p>
            <w:r/>
            <w:r>
              <w:rPr>
                <w:sz w:val="19"/>
              </w:rPr>
              <w:t>[Name / Code]</w:t>
            </w:r>
          </w:p>
        </w:tc>
        <w:tc>
          <w:tcPr>
            <w:tcW w:type="dxa" w:w="1728"/>
          </w:tcPr>
          <w:p>
            <w:r/>
            <w:r>
              <w:rPr>
                <w:sz w:val="19"/>
              </w:rPr>
              <w:t>Initial draft template.</w:t>
            </w:r>
          </w:p>
        </w:tc>
        <w:tc>
          <w:tcPr>
            <w:tcW w:type="dxa" w:w="1728"/>
          </w:tcPr>
          <w:p>
            <w:r/>
            <w:r>
              <w:rPr>
                <w:sz w:val="19"/>
              </w:rPr>
              <w:t>[Name / Code]</w:t>
            </w:r>
          </w:p>
        </w:tc>
      </w:tr>
      <w:tr>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r>
      <w:tr>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r>
    </w:tbl>
    <w:p>
      <w:pPr>
        <w:pStyle w:val="Heading1"/>
      </w:pPr>
      <w:r>
        <w:t>1. Purpose</w:t>
      </w:r>
    </w:p>
    <w:p>
      <w:r>
        <w:t>This guide standardizes how C5I modernization work is integrated into CVN availabilities (PIA, DPIA, CIA, and emergent windows). It addresses work package sequencing, dependencies, access constraints, shipyard coordination, testing, and turnover.</w:t>
      </w:r>
    </w:p>
    <w:p>
      <w:pPr>
        <w:pStyle w:val="Heading1"/>
      </w:pPr>
      <w:r>
        <w:t>2. Planning Horizon and Milestones</w:t>
      </w:r>
    </w:p>
    <w:p>
      <w:r>
        <w:t>Planning milestones below are placeholders keyed to the availability start date (A-date); tailor to the governing availability planning process.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fill="D9E2F3"/>
          </w:tcPr>
          <w:p>
            <w:r/>
            <w:r>
              <w:rPr>
                <w:b/>
                <w:color w:val="1F3A5F"/>
                <w:sz w:val="19"/>
              </w:rPr>
              <w:t>Milestone</w:t>
            </w:r>
          </w:p>
        </w:tc>
        <w:tc>
          <w:tcPr>
            <w:tcW w:type="dxa" w:w="2880"/>
            <w:shd w:val="clear" w:fill="D9E2F3"/>
          </w:tcPr>
          <w:p>
            <w:r/>
            <w:r>
              <w:rPr>
                <w:b/>
                <w:color w:val="1F3A5F"/>
                <w:sz w:val="19"/>
              </w:rPr>
              <w:t>Timing</w:t>
            </w:r>
          </w:p>
        </w:tc>
        <w:tc>
          <w:tcPr>
            <w:tcW w:type="dxa" w:w="2880"/>
            <w:shd w:val="clear" w:fill="D9E2F3"/>
          </w:tcPr>
          <w:p>
            <w:r/>
            <w:r>
              <w:rPr>
                <w:b/>
                <w:color w:val="1F3A5F"/>
                <w:sz w:val="19"/>
              </w:rPr>
              <w:t>C5IMP Actions</w:t>
            </w:r>
          </w:p>
        </w:tc>
      </w:tr>
      <w:tr>
        <w:tc>
          <w:tcPr>
            <w:tcW w:type="dxa" w:w="2880"/>
          </w:tcPr>
          <w:p>
            <w:r/>
            <w:r>
              <w:rPr>
                <w:sz w:val="19"/>
              </w:rPr>
              <w:t>Initial work package identification</w:t>
            </w:r>
          </w:p>
        </w:tc>
        <w:tc>
          <w:tcPr>
            <w:tcW w:type="dxa" w:w="2880"/>
          </w:tcPr>
          <w:p>
            <w:r/>
            <w:r>
              <w:rPr>
                <w:sz w:val="19"/>
              </w:rPr>
              <w:t>[A-720 days]</w:t>
            </w:r>
          </w:p>
        </w:tc>
        <w:tc>
          <w:tcPr>
            <w:tcW w:type="dxa" w:w="2880"/>
          </w:tcPr>
          <w:p>
            <w:r/>
            <w:r>
              <w:rPr>
                <w:sz w:val="19"/>
              </w:rPr>
              <w:t>Candidate items locked in Master Tracker; intake cutoff published</w:t>
            </w:r>
          </w:p>
        </w:tc>
      </w:tr>
      <w:tr>
        <w:tc>
          <w:tcPr>
            <w:tcW w:type="dxa" w:w="2880"/>
          </w:tcPr>
          <w:p>
            <w:r/>
            <w:r>
              <w:rPr>
                <w:sz w:val="19"/>
              </w:rPr>
              <w:t>Change decision cutoff</w:t>
            </w:r>
          </w:p>
        </w:tc>
        <w:tc>
          <w:tcPr>
            <w:tcW w:type="dxa" w:w="2880"/>
          </w:tcPr>
          <w:p>
            <w:r/>
            <w:r>
              <w:rPr>
                <w:sz w:val="19"/>
              </w:rPr>
              <w:t>[A-360 days]</w:t>
            </w:r>
          </w:p>
        </w:tc>
        <w:tc>
          <w:tcPr>
            <w:tcW w:type="dxa" w:w="2880"/>
          </w:tcPr>
          <w:p>
            <w:r/>
            <w:r>
              <w:rPr>
                <w:sz w:val="19"/>
              </w:rPr>
              <w:t>CCB dispositions all items for the availability</w:t>
            </w:r>
          </w:p>
        </w:tc>
      </w:tr>
      <w:tr>
        <w:tc>
          <w:tcPr>
            <w:tcW w:type="dxa" w:w="2880"/>
          </w:tcPr>
          <w:p>
            <w:r/>
            <w:r>
              <w:rPr>
                <w:sz w:val="19"/>
              </w:rPr>
              <w:t>Work package integration lock</w:t>
            </w:r>
          </w:p>
        </w:tc>
        <w:tc>
          <w:tcPr>
            <w:tcW w:type="dxa" w:w="2880"/>
          </w:tcPr>
          <w:p>
            <w:r/>
            <w:r>
              <w:rPr>
                <w:sz w:val="19"/>
              </w:rPr>
              <w:t>[A-270 days]</w:t>
            </w:r>
          </w:p>
        </w:tc>
        <w:tc>
          <w:tcPr>
            <w:tcW w:type="dxa" w:w="2880"/>
          </w:tcPr>
          <w:p>
            <w:r/>
            <w:r>
              <w:rPr>
                <w:sz w:val="19"/>
              </w:rPr>
              <w:t>Availability Integration Tracker baselined; dependencies mapped</w:t>
            </w:r>
          </w:p>
        </w:tc>
      </w:tr>
      <w:tr>
        <w:tc>
          <w:tcPr>
            <w:tcW w:type="dxa" w:w="2880"/>
          </w:tcPr>
          <w:p>
            <w:r/>
            <w:r>
              <w:rPr>
                <w:sz w:val="19"/>
              </w:rPr>
              <w:t>Ship check completion</w:t>
            </w:r>
          </w:p>
        </w:tc>
        <w:tc>
          <w:tcPr>
            <w:tcW w:type="dxa" w:w="2880"/>
          </w:tcPr>
          <w:p>
            <w:r/>
            <w:r>
              <w:rPr>
                <w:sz w:val="19"/>
              </w:rPr>
              <w:t>[A-180 days]</w:t>
            </w:r>
          </w:p>
        </w:tc>
        <w:tc>
          <w:tcPr>
            <w:tcW w:type="dxa" w:w="2880"/>
          </w:tcPr>
          <w:p>
            <w:r/>
            <w:r>
              <w:rPr>
                <w:sz w:val="19"/>
              </w:rPr>
              <w:t>Drawings validated; access constraints documented</w:t>
            </w:r>
          </w:p>
        </w:tc>
      </w:tr>
      <w:tr>
        <w:tc>
          <w:tcPr>
            <w:tcW w:type="dxa" w:w="2880"/>
          </w:tcPr>
          <w:p>
            <w:r/>
            <w:r>
              <w:rPr>
                <w:sz w:val="19"/>
              </w:rPr>
              <w:t>Material readiness review</w:t>
            </w:r>
          </w:p>
        </w:tc>
        <w:tc>
          <w:tcPr>
            <w:tcW w:type="dxa" w:w="2880"/>
          </w:tcPr>
          <w:p>
            <w:r/>
            <w:r>
              <w:rPr>
                <w:sz w:val="19"/>
              </w:rPr>
              <w:t>[A-120 days]</w:t>
            </w:r>
          </w:p>
        </w:tc>
        <w:tc>
          <w:tcPr>
            <w:tcW w:type="dxa" w:w="2880"/>
          </w:tcPr>
          <w:p>
            <w:r/>
            <w:r>
              <w:rPr>
                <w:sz w:val="19"/>
              </w:rPr>
              <w:t>Long-lead and GFE status confirmed</w:t>
            </w:r>
          </w:p>
        </w:tc>
      </w:tr>
      <w:tr>
        <w:tc>
          <w:tcPr>
            <w:tcW w:type="dxa" w:w="2880"/>
          </w:tcPr>
          <w:p>
            <w:r/>
            <w:r>
              <w:rPr>
                <w:sz w:val="19"/>
              </w:rPr>
              <w:t>Pre-installation readiness assessment</w:t>
            </w:r>
          </w:p>
        </w:tc>
        <w:tc>
          <w:tcPr>
            <w:tcW w:type="dxa" w:w="2880"/>
          </w:tcPr>
          <w:p>
            <w:r/>
            <w:r>
              <w:rPr>
                <w:sz w:val="19"/>
              </w:rPr>
              <w:t>[A-60 days]</w:t>
            </w:r>
          </w:p>
        </w:tc>
        <w:tc>
          <w:tcPr>
            <w:tcW w:type="dxa" w:w="2880"/>
          </w:tcPr>
          <w:p>
            <w:r/>
            <w:r>
              <w:rPr>
                <w:sz w:val="19"/>
              </w:rPr>
              <w:t>Modernization Readiness Assessment (pre-installation) complete</w:t>
            </w:r>
          </w:p>
        </w:tc>
      </w:tr>
      <w:tr>
        <w:tc>
          <w:tcPr>
            <w:tcW w:type="dxa" w:w="2880"/>
          </w:tcPr>
          <w:p>
            <w:r/>
            <w:r>
              <w:rPr>
                <w:sz w:val="19"/>
              </w:rPr>
              <w:t>Availability execution</w:t>
            </w:r>
          </w:p>
        </w:tc>
        <w:tc>
          <w:tcPr>
            <w:tcW w:type="dxa" w:w="2880"/>
          </w:tcPr>
          <w:p>
            <w:r/>
            <w:r>
              <w:rPr>
                <w:sz w:val="19"/>
              </w:rPr>
              <w:t>[A-day to completion]</w:t>
            </w:r>
          </w:p>
        </w:tc>
        <w:tc>
          <w:tcPr>
            <w:tcW w:type="dxa" w:w="2880"/>
          </w:tcPr>
          <w:p>
            <w:r/>
            <w:r>
              <w:rPr>
                <w:sz w:val="19"/>
              </w:rPr>
              <w:t>Weekly integration sync; field change control per SOP</w:t>
            </w:r>
          </w:p>
        </w:tc>
      </w:tr>
      <w:tr>
        <w:tc>
          <w:tcPr>
            <w:tcW w:type="dxa" w:w="2880"/>
          </w:tcPr>
          <w:p>
            <w:r/>
            <w:r>
              <w:rPr>
                <w:sz w:val="19"/>
              </w:rPr>
              <w:t>Test and turnover</w:t>
            </w:r>
          </w:p>
        </w:tc>
        <w:tc>
          <w:tcPr>
            <w:tcW w:type="dxa" w:w="2880"/>
          </w:tcPr>
          <w:p>
            <w:r/>
            <w:r>
              <w:rPr>
                <w:sz w:val="19"/>
              </w:rPr>
              <w:t>[Per production schedule]</w:t>
            </w:r>
          </w:p>
        </w:tc>
        <w:tc>
          <w:tcPr>
            <w:tcW w:type="dxa" w:w="2880"/>
          </w:tcPr>
          <w:p>
            <w:r/>
            <w:r>
              <w:rPr>
                <w:sz w:val="19"/>
              </w:rPr>
              <w:t>SOVT placeholder execution; turnover items logged</w:t>
            </w:r>
          </w:p>
        </w:tc>
      </w:tr>
    </w:tbl>
    <w:p>
      <w:pPr>
        <w:pStyle w:val="Heading1"/>
      </w:pPr>
      <w:r>
        <w:t>3. Work Package Sequencing Principles</w:t>
      </w:r>
    </w:p>
    <w:p>
      <w:pPr>
        <w:pStyle w:val="ListBullet"/>
      </w:pPr>
      <w:r>
        <w:t>Sequence rip-out, cable, foundation, and structural work ahead of equipment installation; reflect predecessor/successor links in the Dependencies tab of the Availability Integration Tracker.</w:t>
      </w:r>
    </w:p>
    <w:p>
      <w:pPr>
        <w:pStyle w:val="ListBullet"/>
      </w:pPr>
      <w:r>
        <w:t>Group work by compartment and access path to minimize repeated closures of the same spaces.</w:t>
      </w:r>
    </w:p>
    <w:p>
      <w:pPr>
        <w:pStyle w:val="ListBullet"/>
      </w:pPr>
      <w:r>
        <w:t>Protect integrated test windows; do not schedule conflicting hot work or power interruptions during system test.</w:t>
      </w:r>
    </w:p>
    <w:p>
      <w:pPr>
        <w:pStyle w:val="ListBullet"/>
      </w:pPr>
      <w:r>
        <w:t>Identify single-point resources (cranes, shore services, drydock access) and deconflict early with the shipyard.</w:t>
      </w:r>
    </w:p>
    <w:p>
      <w:pPr>
        <w:pStyle w:val="Heading1"/>
      </w:pPr>
      <w:r>
        <w:t>4. Access Constraints</w:t>
      </w:r>
    </w:p>
    <w:p>
      <w:pPr>
        <w:pStyle w:val="ListBullet"/>
      </w:pPr>
      <w:r>
        <w:t>Compartment access conflicts with concurrent maintenance work [Compartment placeholders].</w:t>
      </w:r>
    </w:p>
    <w:p>
      <w:pPr>
        <w:pStyle w:val="ListBullet"/>
      </w:pPr>
      <w:r>
        <w:t>Mast / antenna access requiring aloft permits and radar silence windows.</w:t>
      </w:r>
    </w:p>
    <w:p>
      <w:pPr>
        <w:pStyle w:val="ListBullet"/>
      </w:pPr>
      <w:r>
        <w:t>Security and escort requirements for restricted spaces [Placeholder].</w:t>
      </w:r>
    </w:p>
    <w:p>
      <w:pPr>
        <w:pStyle w:val="ListBullet"/>
      </w:pPr>
      <w:r>
        <w:t>Tag-out coordination for power, cooling, and RF systems.</w:t>
      </w:r>
    </w:p>
    <w:p>
      <w:pPr>
        <w:pStyle w:val="ListBullet"/>
      </w:pPr>
      <w:r>
        <w:t>Berth/drydock services availability windows.</w:t>
      </w:r>
    </w:p>
    <w:p>
      <w:pPr>
        <w:pStyle w:val="Heading1"/>
      </w:pPr>
      <w:r>
        <w:t>5. Shipyard and RMC Coordination</w:t>
      </w:r>
    </w:p>
    <w:p>
      <w:pPr>
        <w:pStyle w:val="ListBullet"/>
      </w:pPr>
      <w:r>
        <w:t>Designate a C5IMP availability integration lead as the single point of contact to the shipyard scheduler.</w:t>
      </w:r>
    </w:p>
    <w:p>
      <w:pPr>
        <w:pStyle w:val="ListBullet"/>
      </w:pPr>
      <w:r>
        <w:t>Conduct bi-weekly Availability Integration Working Group sessions during planning, weekly during execution.</w:t>
      </w:r>
    </w:p>
    <w:p>
      <w:pPr>
        <w:pStyle w:val="ListBullet"/>
      </w:pPr>
      <w:r>
        <w:t>Document emergent field changes per the expedited decision path in the Governance SOP (72-hour CCB report).</w:t>
      </w:r>
    </w:p>
    <w:p>
      <w:pPr>
        <w:pStyle w:val="ListBullet"/>
      </w:pPr>
      <w:r>
        <w:t>Maintain integration status in the Availability Integration Tracker; the SharePoint copy is authoritative.</w:t>
      </w:r>
    </w:p>
    <w:p>
      <w:pPr>
        <w:pStyle w:val="Heading1"/>
      </w:pPr>
      <w:r>
        <w:t>6. Testing Integration</w:t>
      </w:r>
    </w:p>
    <w:p>
      <w:pPr>
        <w:pStyle w:val="ListBullet"/>
      </w:pPr>
      <w:r>
        <w:t>Map every installed item to a test milestone in the Testing Milestones tab.</w:t>
      </w:r>
    </w:p>
    <w:p>
      <w:pPr>
        <w:pStyle w:val="ListBullet"/>
      </w:pPr>
      <w:r>
        <w:t>Schedule shipboard services (power, cooling, network) for each test window.</w:t>
      </w:r>
    </w:p>
    <w:p>
      <w:pPr>
        <w:pStyle w:val="ListBullet"/>
      </w:pPr>
      <w:r>
        <w:t>Sequence cyber/authorization events ahead of operational test where required [RMF placeholder].</w:t>
      </w:r>
    </w:p>
    <w:p>
      <w:pPr>
        <w:pStyle w:val="ListBullet"/>
      </w:pPr>
      <w:r>
        <w:t>Record test discrepancies as turnover items with owners and due dates.</w:t>
      </w:r>
    </w:p>
    <w:p>
      <w:pPr>
        <w:pStyle w:val="Heading1"/>
      </w:pPr>
      <w:r>
        <w:t>7. Turnover</w:t>
      </w:r>
    </w:p>
    <w:p>
      <w:pPr>
        <w:pStyle w:val="ListBullet"/>
      </w:pPr>
      <w:r>
        <w:t>Complete pre-turnover Modernization Readiness Assessment.</w:t>
      </w:r>
    </w:p>
    <w:p>
      <w:pPr>
        <w:pStyle w:val="ListBullet"/>
      </w:pPr>
      <w:r>
        <w:t>Deliver ILS products and updated configuration data to Ship's Force.</w:t>
      </w:r>
    </w:p>
    <w:p>
      <w:pPr>
        <w:pStyle w:val="ListBullet"/>
      </w:pPr>
      <w:r>
        <w:t>Conduct crew familiarization and document training completion.</w:t>
      </w:r>
    </w:p>
    <w:p>
      <w:pPr>
        <w:pStyle w:val="ListBullet"/>
      </w:pPr>
      <w:r>
        <w:t>Transfer open items to the Turnover Items tab with owners and target closure dates.</w:t>
      </w:r>
    </w:p>
    <w:p>
      <w:pPr>
        <w:pStyle w:val="ListBullet"/>
      </w:pPr>
      <w:r>
        <w:t>File the availability After Action Report within 30 days of completion.</w:t>
      </w:r>
    </w:p>
    <w:p>
      <w:pPr>
        <w:pStyle w:val="Heading1"/>
      </w:pPr>
      <w:r>
        <w:t>Approval</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4032"/>
            <w:shd w:val="clear" w:fill="D9E2F3"/>
          </w:tcPr>
          <w:p>
            <w:r/>
            <w:r>
              <w:rPr>
                <w:b/>
                <w:color w:val="1F3A5F"/>
                <w:sz w:val="19"/>
              </w:rPr>
              <w:t>Role / Organization</w:t>
            </w:r>
          </w:p>
        </w:tc>
        <w:tc>
          <w:tcPr>
            <w:tcW w:type="dxa" w:w="2304"/>
            <w:shd w:val="clear" w:fill="D9E2F3"/>
          </w:tcPr>
          <w:p>
            <w:r/>
            <w:r>
              <w:rPr>
                <w:b/>
                <w:color w:val="1F3A5F"/>
                <w:sz w:val="19"/>
              </w:rPr>
              <w:t>Name</w:t>
            </w:r>
          </w:p>
        </w:tc>
        <w:tc>
          <w:tcPr>
            <w:tcW w:type="dxa" w:w="1872"/>
            <w:shd w:val="clear" w:fill="D9E2F3"/>
          </w:tcPr>
          <w:p>
            <w:r/>
            <w:r>
              <w:rPr>
                <w:b/>
                <w:color w:val="1F3A5F"/>
                <w:sz w:val="19"/>
              </w:rPr>
              <w:t>Signature</w:t>
            </w:r>
          </w:p>
        </w:tc>
        <w:tc>
          <w:tcPr>
            <w:tcW w:type="dxa" w:w="1296"/>
            <w:shd w:val="clear" w:fill="D9E2F3"/>
          </w:tcPr>
          <w:p>
            <w:r/>
            <w:r>
              <w:rPr>
                <w:b/>
                <w:color w:val="1F3A5F"/>
                <w:sz w:val="19"/>
              </w:rPr>
              <w:t>Date</w:t>
            </w:r>
          </w:p>
        </w:tc>
      </w:tr>
      <w:tr>
        <w:tc>
          <w:tcPr>
            <w:tcW w:type="dxa" w:w="4032"/>
          </w:tcPr>
          <w:p>
            <w:r/>
            <w:r>
              <w:rPr>
                <w:sz w:val="19"/>
              </w:rPr>
              <w:t>TYCOM N6 (or designated representative)</w:t>
            </w:r>
          </w:p>
        </w:tc>
        <w:tc>
          <w:tcPr>
            <w:tcW w:type="dxa" w:w="2304"/>
          </w:tcPr>
          <w:p>
            <w:r/>
            <w:r>
              <w:rPr>
                <w:sz w:val="19"/>
              </w:rPr>
              <w:t>[Name]</w:t>
            </w:r>
          </w:p>
        </w:tc>
        <w:tc>
          <w:tcPr>
            <w:tcW w:type="dxa" w:w="1872"/>
          </w:tcPr>
          <w:p>
            <w:r/>
            <w:r>
              <w:rPr>
                <w:sz w:val="19"/>
              </w:rPr>
            </w:r>
          </w:p>
        </w:tc>
        <w:tc>
          <w:tcPr>
            <w:tcW w:type="dxa" w:w="1296"/>
          </w:tcPr>
          <w:p>
            <w:r/>
            <w:r>
              <w:rPr>
                <w:sz w:val="19"/>
              </w:rPr>
              <w:t>[DD MMM YYYY]</w:t>
            </w:r>
          </w:p>
        </w:tc>
      </w:tr>
      <w:tr>
        <w:tc>
          <w:tcPr>
            <w:tcW w:type="dxa" w:w="4032"/>
          </w:tcPr>
          <w:p>
            <w:r/>
            <w:r>
              <w:rPr>
                <w:sz w:val="19"/>
              </w:rPr>
              <w:t>NAVSEA Carrier Modernization Lead [Code Placeholder]</w:t>
            </w:r>
          </w:p>
        </w:tc>
        <w:tc>
          <w:tcPr>
            <w:tcW w:type="dxa" w:w="2304"/>
          </w:tcPr>
          <w:p>
            <w:r/>
            <w:r>
              <w:rPr>
                <w:sz w:val="19"/>
              </w:rPr>
              <w:t>[Name]</w:t>
            </w:r>
          </w:p>
        </w:tc>
        <w:tc>
          <w:tcPr>
            <w:tcW w:type="dxa" w:w="1872"/>
          </w:tcPr>
          <w:p>
            <w:r/>
            <w:r>
              <w:rPr>
                <w:sz w:val="19"/>
              </w:rPr>
            </w:r>
          </w:p>
        </w:tc>
        <w:tc>
          <w:tcPr>
            <w:tcW w:type="dxa" w:w="1296"/>
          </w:tcPr>
          <w:p>
            <w:r/>
            <w:r>
              <w:rPr>
                <w:sz w:val="19"/>
              </w:rPr>
              <w:t>[DD MMM YYYY]</w:t>
            </w:r>
          </w:p>
        </w:tc>
      </w:tr>
      <w:tr>
        <w:tc>
          <w:tcPr>
            <w:tcW w:type="dxa" w:w="4032"/>
          </w:tcPr>
          <w:p>
            <w:r/>
            <w:r>
              <w:rPr>
                <w:sz w:val="19"/>
              </w:rPr>
              <w:t>PEO Carriers Representative [Code Placeholder]</w:t>
            </w:r>
          </w:p>
        </w:tc>
        <w:tc>
          <w:tcPr>
            <w:tcW w:type="dxa" w:w="2304"/>
          </w:tcPr>
          <w:p>
            <w:r/>
            <w:r>
              <w:rPr>
                <w:sz w:val="19"/>
              </w:rPr>
              <w:t>[Name]</w:t>
            </w:r>
          </w:p>
        </w:tc>
        <w:tc>
          <w:tcPr>
            <w:tcW w:type="dxa" w:w="1872"/>
          </w:tcPr>
          <w:p>
            <w:r/>
            <w:r>
              <w:rPr>
                <w:sz w:val="19"/>
              </w:rPr>
            </w:r>
          </w:p>
        </w:tc>
        <w:tc>
          <w:tcPr>
            <w:tcW w:type="dxa" w:w="1296"/>
          </w:tcPr>
          <w:p>
            <w:r/>
            <w:r>
              <w:rPr>
                <w:sz w:val="19"/>
              </w:rPr>
              <w:t>[DD MMM YYYY]</w:t>
            </w:r>
          </w:p>
        </w:tc>
      </w:tr>
      <w:tr>
        <w:tc>
          <w:tcPr>
            <w:tcW w:type="dxa" w:w="4032"/>
          </w:tcPr>
          <w:p>
            <w:r/>
            <w:r>
              <w:rPr>
                <w:sz w:val="19"/>
              </w:rPr>
              <w:t>PEO C4I / PMW Representative [Code Placeholder]</w:t>
            </w:r>
          </w:p>
        </w:tc>
        <w:tc>
          <w:tcPr>
            <w:tcW w:type="dxa" w:w="2304"/>
          </w:tcPr>
          <w:p>
            <w:r/>
            <w:r>
              <w:rPr>
                <w:sz w:val="19"/>
              </w:rPr>
              <w:t>[Name]</w:t>
            </w:r>
          </w:p>
        </w:tc>
        <w:tc>
          <w:tcPr>
            <w:tcW w:type="dxa" w:w="1872"/>
          </w:tcPr>
          <w:p>
            <w:r/>
            <w:r>
              <w:rPr>
                <w:sz w:val="19"/>
              </w:rPr>
            </w:r>
          </w:p>
        </w:tc>
        <w:tc>
          <w:tcPr>
            <w:tcW w:type="dxa" w:w="1296"/>
          </w:tcPr>
          <w:p>
            <w:r/>
            <w:r>
              <w:rPr>
                <w:sz w:val="19"/>
              </w:rPr>
              <w:t>[DD MMM YYYY]</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C5IMP-AIPG-001  |  Page </w:t>
    </w:r>
    <w:r>
      <w:fldChar w:fldCharType="begin"/>
      <w:instrText xml:space="preserve"> PAGE </w:instrText>
      <w:fldChar w:fldCharType="end"/>
    </w:r>
    <w:r>
      <w:rPr>
        <w:color w:val="595959"/>
        <w:sz w:val="14"/>
      </w:rPr>
      <w:t xml:space="preserve">  |  DISTRIBUTION STATEMENT PLACEHOLDER - Insert appropriate distribution statement prior to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1F3A5F"/>
        <w:sz w:val="18"/>
      </w:rPr>
      <w:t>CVN C5IMP Availability Integration Planning Guide</w:t>
      <w:br/>
    </w:r>
    <w:r>
      <w:rPr>
        <w:color w:val="595959"/>
        <w:sz w:val="16"/>
      </w:rPr>
      <w:t>DRAFT TEMPLATE - NOT OFFICIAL POLICY - UNCLASSIFIED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