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26"/>
        </w:rPr>
        <w:br/>
        <w:br/>
        <w:t>AIRCRAFT CARRIER C5I MODERNIZATION PROGRAM (C5IMP)</w:t>
      </w:r>
    </w:p>
    <w:p>
      <w:pPr>
        <w:pStyle w:val="Title"/>
        <w:jc w:val="center"/>
      </w:pPr>
      <w:r>
        <w:t>C5IMP SharePoint Implementation Roadmap</w:t>
      </w:r>
    </w:p>
    <w:p>
      <w:pPr>
        <w:jc w:val="center"/>
      </w:pPr>
      <w:r>
        <w:rPr>
          <w:i/>
          <w:color w:val="595959"/>
          <w:sz w:val="24"/>
        </w:rPr>
        <w:t>Phased Build, Pilot, and Fleet Expansion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Document Control Field</w:t>
            </w:r>
          </w:p>
        </w:tc>
        <w:tc>
          <w:tcPr>
            <w:tcW w:type="dxa" w:w="619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Document Number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C5IMP-RDMP-001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0.1 (DRAFT)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Prepared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[Action Officer Name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Reviewed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[Branch Head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[Approval Authority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Next Review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UNCLASSIFIED (template) - [Insert handling caveat placeholder]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SharePoint Location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[C5IMP Site / Library / Folder]</w:t>
            </w:r>
          </w:p>
        </w:tc>
      </w:tr>
    </w:tbl>
    <w:p>
      <w:pPr>
        <w:jc w:val="center"/>
      </w:pPr>
      <w:r>
        <w:rPr>
          <w:b/>
          <w:color w:val="595959"/>
          <w:sz w:val="18"/>
        </w:rPr>
        <w:br/>
        <w:t>DRAFT TEMPLATE - NOT OFFICIAL POLICY - UNCLASSIFIED</w:t>
        <w:br/>
        <w:t>DISTRIBUTION STATEMENT PLACEHOLDER - Insert appropriate distribution statement prior to release.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Version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Author / Code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Description of Change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Approved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Initial draft template.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1. Purpose</w:t>
      </w:r>
    </w:p>
    <w:p>
      <w:r>
        <w:t>This roadmap sequences the build-out of the C5IMP SharePoint administrative tool suite from site shell through fleet-level adoption.</w:t>
      </w:r>
    </w:p>
    <w:p>
      <w:pPr>
        <w:pStyle w:val="Heading1"/>
      </w:pPr>
      <w:r>
        <w:t>2.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Phase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Scope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Exit Criteria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Owner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Target (Placeholder)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1. Build site shell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Site, pages, navigation, permission groups created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All 11 pages exist; groups populated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Site Owners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[Week 1-2]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2. Create libraries/lists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All libraries and lists from the Content Inventory created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Inventory tab matches site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Site Owners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[Week 2-3]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3. Apply metadata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Site columns and content types applied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Required columns enforced on all libraries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Site Owners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[Week 3-4]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4. Upload templates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Word/Excel suite uploaded to Templates and Tracker libraries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All files present with metadata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Action Officer Lead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[Week 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5. Configure views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Standard views (By Hull, Overdue, Pending Decision, etc.) built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Views verified by user reps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Site Owners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[Week 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6. Add web parts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Pages assembled per Web Part Employment Matrix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Page-by-page checklist complete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Site Owners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[Week 5-6]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7. Pilot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One hull or one availability run end-to-end on the site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Pilot AAR complete; punch list dispositioned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Program Office Lead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[Week 7-18]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8. Refine governance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SOP/CCB Charter updates from pilot lessons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Updated documents approved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Program Office Lead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[Week 18-20]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9. Expand to fleet-level use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Remaining hulls onboarded; training delivered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All hulls reporting via site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TYCOM N6 / NAVSEA Leads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[Week 20+]</w:t>
            </w:r>
          </w:p>
        </w:tc>
      </w:tr>
    </w:tbl>
    <w:p>
      <w:pPr>
        <w:pStyle w:val="Heading1"/>
      </w:pPr>
      <w:r>
        <w:t>3. Pilot Recommendation</w:t>
      </w:r>
    </w:p>
    <w:p>
      <w:r>
        <w:t>Pilot with a single CVN availability ([CVN-XX] [PIA FYxx placeholder]) entering its planning window: run intake, triage, CCB, availability integration, and one readiness assessment cycle entirely on the site before fleet expansion.</w:t>
      </w:r>
    </w:p>
    <w:p>
      <w:pPr>
        <w:pStyle w:val="Heading1"/>
      </w:pPr>
      <w:r>
        <w:t>4. Risks to Implementation</w:t>
      </w:r>
    </w:p>
    <w:p>
      <w:pPr>
        <w:pStyle w:val="ListBullet"/>
      </w:pPr>
      <w:r>
        <w:t>Tenant policy may restrict Forms or Power BI web parts - confirm early (mitigation: list-based intake and Excel rollups).</w:t>
      </w:r>
    </w:p>
    <w:p>
      <w:pPr>
        <w:pStyle w:val="ListBullet"/>
      </w:pPr>
      <w:r>
        <w:t>Tracker adoption may lag if email habits persist - mitigation: chairs refuse non-SharePoint read-aheads after Phase 6.</w:t>
      </w:r>
    </w:p>
    <w:p>
      <w:pPr>
        <w:pStyle w:val="ListBullet"/>
      </w:pPr>
      <w:r>
        <w:t>Metadata discipline erodes without enforcement - mitigation: required columns plus monthly content audit by site owners.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03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Role / Organization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Name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Signature</w:t>
            </w:r>
          </w:p>
        </w:tc>
        <w:tc>
          <w:tcPr>
            <w:tcW w:type="dxa" w:w="1296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Program Office Lead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TYCOM N6 Representative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Site Owner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C5IMP-RDMP-001  |  Page </w:t>
    </w:r>
    <w: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 |  DISTRIBUTION STATEMENT PLACEHOLDER - Insert appropriate distribution statement prior to release.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F3A5F"/>
        <w:sz w:val="18"/>
      </w:rPr>
      <w:t>C5IMP SharePoint Implementation Roadmap</w:t>
      <w:br/>
    </w:r>
    <w:r>
      <w:rPr>
        <w:color w:val="595959"/>
        <w:sz w:val="16"/>
      </w:rPr>
      <w:t>DRAFT TEMPLATE - NOT OFFICIAL POLICY - 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