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libri" w:hAnsi="Calibri"/>
          <w:b/>
          <w:color w:val="1F3A5F"/>
          <w:sz w:val="44"/>
        </w:rPr>
        <w:t>Plainly Digital LLC — Information Security Policy</w:t>
      </w:r>
    </w:p>
    <w:p>
      <w:pPr>
        <w:spacing w:after="40"/>
        <w:jc w:val="center"/>
      </w:pPr>
      <w:r>
        <w:rPr>
          <w:rFonts w:ascii="Calibri" w:hAnsi="Calibri"/>
          <w:b/>
          <w:color w:val="444444"/>
          <w:sz w:val="22"/>
        </w:rPr>
        <w:t>Document version:</w:t>
      </w:r>
      <w:r>
        <w:rPr>
          <w:rFonts w:ascii="Calibri" w:hAnsi="Calibri"/>
          <w:b w:val="0"/>
          <w:color w:val="444444"/>
          <w:sz w:val="22"/>
        </w:rPr>
        <w:t xml:space="preserve"> 1.0 </w:t>
      </w:r>
      <w:r>
        <w:rPr>
          <w:rFonts w:ascii="Calibri" w:hAnsi="Calibri"/>
          <w:b/>
          <w:color w:val="444444"/>
          <w:sz w:val="22"/>
        </w:rPr>
        <w:t>Effective date:</w:t>
      </w:r>
      <w:r>
        <w:rPr>
          <w:rFonts w:ascii="Calibri" w:hAnsi="Calibri"/>
          <w:b w:val="0"/>
          <w:color w:val="444444"/>
          <w:sz w:val="22"/>
        </w:rPr>
        <w:t xml:space="preserve"> 2026-05-11 </w:t>
      </w:r>
      <w:r>
        <w:rPr>
          <w:rFonts w:ascii="Calibri" w:hAnsi="Calibri"/>
          <w:b/>
          <w:color w:val="444444"/>
          <w:sz w:val="22"/>
        </w:rPr>
        <w:t>Owner:</w:t>
      </w:r>
      <w:r>
        <w:rPr>
          <w:rFonts w:ascii="Calibri" w:hAnsi="Calibri"/>
          <w:b w:val="0"/>
          <w:color w:val="444444"/>
          <w:sz w:val="22"/>
        </w:rPr>
        <w:t xml:space="preserve"> Jonathan Brock, Managing Member (Plainly Digital LLC) </w:t>
      </w:r>
      <w:r>
        <w:rPr>
          <w:rFonts w:ascii="Calibri" w:hAnsi="Calibri"/>
          <w:b/>
          <w:color w:val="444444"/>
          <w:sz w:val="22"/>
        </w:rPr>
        <w:t>Review cadence:</w:t>
      </w:r>
      <w:r>
        <w:rPr>
          <w:rFonts w:ascii="Calibri" w:hAnsi="Calibri"/>
          <w:b w:val="0"/>
          <w:color w:val="444444"/>
          <w:sz w:val="22"/>
        </w:rPr>
        <w:t xml:space="preserve"> Annual (next scheduled review: 2027-05-11), or within 30 days of a material change to systems, vendors, or applicable law. </w:t>
      </w:r>
      <w:r>
        <w:rPr>
          <w:rFonts w:ascii="Calibri" w:hAnsi="Calibri"/>
          <w:b/>
          <w:color w:val="444444"/>
          <w:sz w:val="22"/>
        </w:rPr>
        <w:t>Governing law:</w:t>
      </w:r>
      <w:r>
        <w:rPr>
          <w:rFonts w:ascii="Calibri" w:hAnsi="Calibri"/>
          <w:b w:val="0"/>
          <w:color w:val="444444"/>
          <w:sz w:val="22"/>
        </w:rPr>
        <w:t xml:space="preserve"> Tennessee, USA.</w:t>
      </w:r>
    </w:p>
    <w:p>
      <w:pPr>
        <w:pBdr>
          <w:bottom w:val="single" w:sz="6" w:space="1" w:color="999999"/>
        </w:pBdr>
      </w:pP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1. Purpose &amp; Scope</w:t>
      </w:r>
    </w:p>
    <w:p>
      <w:r>
        <w:rPr>
          <w:rFonts w:ascii="Calibri" w:hAnsi="Calibri"/>
          <w:b w:val="0"/>
          <w:sz w:val="22"/>
        </w:rPr>
        <w:t>This policy defines how Plainly Digital LLC ("Plainly Digital," "the Company") identifies, mitigates, and monitors information-security risk relevant to its business. It applies to every system, vendor, employee, and contractor that handles Plainly Digital customer data, financial data, or production infrastructure across the Company's products: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Patet</w:t>
      </w:r>
      <w:r>
        <w:rPr>
          <w:rFonts w:ascii="Calibri" w:hAnsi="Calibri"/>
          <w:b w:val="0"/>
          <w:sz w:val="22"/>
        </w:rPr>
        <w:t xml:space="preserve"> — personal-finance literacy app (consumer)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Vinla</w:t>
      </w:r>
      <w:r>
        <w:rPr>
          <w:rFonts w:ascii="Calibri" w:hAnsi="Calibri"/>
          <w:b w:val="0"/>
          <w:sz w:val="22"/>
        </w:rPr>
        <w:t xml:space="preserve"> — personal wellness app (consumer)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Winlet</w:t>
      </w:r>
      <w:r>
        <w:rPr>
          <w:rFonts w:ascii="Calibri" w:hAnsi="Calibri"/>
          <w:b w:val="0"/>
          <w:sz w:val="22"/>
        </w:rPr>
        <w:t xml:space="preserve"> — wins/anti-streak tracker (consumer)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Glyphe</w:t>
      </w:r>
      <w:r>
        <w:rPr>
          <w:rFonts w:ascii="Calibri" w:hAnsi="Calibri"/>
          <w:b w:val="0"/>
          <w:sz w:val="22"/>
        </w:rPr>
        <w:t xml:space="preserve"> — AI life-advisor app (consumer) and the AI-coach personality embedded in each of the above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CastFreely</w:t>
      </w:r>
      <w:r>
        <w:rPr>
          <w:rFonts w:ascii="Calibri" w:hAnsi="Calibri"/>
          <w:b w:val="0"/>
          <w:sz w:val="22"/>
        </w:rPr>
        <w:t xml:space="preserve">, </w:t>
      </w:r>
      <w:r>
        <w:rPr>
          <w:rFonts w:ascii="Calibri" w:hAnsi="Calibri"/>
          <w:b/>
          <w:sz w:val="22"/>
        </w:rPr>
        <w:t>Tradingly</w:t>
      </w:r>
      <w:r>
        <w:rPr>
          <w:rFonts w:ascii="Calibri" w:hAnsi="Calibri"/>
          <w:b w:val="0"/>
          <w:sz w:val="22"/>
        </w:rPr>
        <w:t xml:space="preserve">, </w:t>
      </w:r>
      <w:r>
        <w:rPr>
          <w:rFonts w:ascii="Calibri" w:hAnsi="Calibri"/>
          <w:b/>
          <w:sz w:val="22"/>
        </w:rPr>
        <w:t>Fraus</w:t>
      </w:r>
      <w:r>
        <w:rPr>
          <w:rFonts w:ascii="Calibri" w:hAnsi="Calibri"/>
          <w:b w:val="0"/>
          <w:sz w:val="22"/>
        </w:rPr>
        <w:t xml:space="preserve">, </w:t>
      </w:r>
      <w:r>
        <w:rPr>
          <w:rFonts w:ascii="Calibri" w:hAnsi="Calibri"/>
          <w:b/>
          <w:sz w:val="22"/>
        </w:rPr>
        <w:t>Salvis</w:t>
      </w:r>
      <w:r>
        <w:rPr>
          <w:rFonts w:ascii="Calibri" w:hAnsi="Calibri"/>
          <w:b w:val="0"/>
          <w:sz w:val="22"/>
        </w:rPr>
        <w:t xml:space="preserve">, </w:t>
      </w:r>
      <w:r>
        <w:rPr>
          <w:rFonts w:ascii="Calibri" w:hAnsi="Calibri"/>
          <w:b/>
          <w:sz w:val="22"/>
        </w:rPr>
        <w:t>ClearDoc</w:t>
      </w:r>
      <w:r>
        <w:rPr>
          <w:rFonts w:ascii="Calibri" w:hAnsi="Calibri"/>
          <w:b w:val="0"/>
          <w:sz w:val="22"/>
        </w:rPr>
        <w:t xml:space="preserve">, </w:t>
      </w:r>
      <w:r>
        <w:rPr>
          <w:rFonts w:ascii="Calibri" w:hAnsi="Calibri"/>
          <w:b/>
          <w:sz w:val="22"/>
        </w:rPr>
        <w:t>SitterSheet</w:t>
      </w:r>
      <w:r>
        <w:rPr>
          <w:rFonts w:ascii="Calibri" w:hAnsi="Calibri"/>
          <w:b w:val="0"/>
          <w:sz w:val="22"/>
        </w:rPr>
        <w:t xml:space="preserve"> — additional products under the same controls baseline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The marketing site at `https://plainlydigital.com`</w:t>
      </w:r>
    </w:p>
    <w:p>
      <w:r>
        <w:rPr>
          <w:rFonts w:ascii="Calibri" w:hAnsi="Calibri"/>
          <w:b w:val="0"/>
          <w:sz w:val="22"/>
        </w:rPr>
        <w:t>The policy applies regardless of where data is stored (Neon Postgres, Cloud SQL, Firebase, Vercel, Render, GCP, third-party SaaS) and regardless of whether the data is at rest, in transit, or in processing.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2. Roles &amp; Responsibilities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Role</w:t>
            </w:r>
          </w:p>
        </w:tc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Held by</w:t>
            </w:r>
          </w:p>
        </w:tc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Responsibilities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Managing Member / Security Officer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Jonathan Brock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Final approval of this policy; risk-acceptance decisions; incident-response decision authority; vendor-onboarding sign-off.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Engineering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Jonathan Brock (solo founder)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Implement controls; review code; respond to incidents; maintain audit logs.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Successor Managing Member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Designated spouse (per LLC Operating Agreement §6.4)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Assumes Managing Member duties on incapacity per the operating agreement.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Customers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App users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Use strong, unique passwords; report suspected security issues to `security@plainlydigital.com`.</w:t>
            </w:r>
          </w:p>
        </w:tc>
      </w:tr>
    </w:tbl>
    <w:p/>
    <w:p>
      <w:r>
        <w:rPr>
          <w:rFonts w:ascii="Calibri" w:hAnsi="Calibri"/>
          <w:b w:val="0"/>
          <w:sz w:val="22"/>
        </w:rPr>
        <w:t>Because Plainly Digital is a solo-founder LLC, the Managing Member fulfills the "CISO equivalent" responsibilities. Any future hire whose role touches production or customer data inherits the responsibilities in §3-§11 of this policy on their first day and is required to acknowledge it in writing.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3. Data Classification &amp; Handling</w:t>
      </w:r>
    </w:p>
    <w:p>
      <w:r>
        <w:rPr>
          <w:rFonts w:ascii="Calibri" w:hAnsi="Calibri"/>
          <w:b w:val="0"/>
          <w:sz w:val="22"/>
        </w:rPr>
        <w:t>The Company classifies data into four tiers. Controls in this policy reference these tiers by name.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Class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Examples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Required controls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Public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Information intended for public consumption.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Marketing copy, lesson curriculum, lesson titles, blog posts.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None beyond integrity (no tampering).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Internal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Operational data with no direct customer or financial value.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Internal Jira-style task lists, code comments, infrastructure diagrams.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Access limited to authorized personnel.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Confidential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Customer-identifying or behavior data.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User name, email, lesson progress, push tokens, IP addresses, device fingerprints.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TLS 1.2+ in transit. Access logged. Removed on account deletion (CCPA/GDPR right-to-erasure).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Financial / Restricted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Money values, account identifiers, government IDs, secrets.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Take-home pay, debt balances, Plaid access tokens, OAuth refresh tokens, API keys, JWT secrets, encryption keys, FICO scores.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AES-256-GCM application-layer encryption at rest in addition to disk-level encryption. Never logged in plaintext. Never displayed in admin UIs without explicit per-row reason. Subject to data-export bundle on user request (CCPA/GDPR Article 15).</w:t>
            </w:r>
          </w:p>
        </w:tc>
      </w:tr>
    </w:tbl>
    <w:p/>
    <w:p>
      <w:r>
        <w:rPr>
          <w:rFonts w:ascii="Calibri" w:hAnsi="Calibri"/>
          <w:b w:val="0"/>
          <w:sz w:val="22"/>
        </w:rPr>
        <w:t>A user data-export bundle (`GET /api/auth/me/export` in Patet) returns the full per-user dataset as a `Content-Disposition: attachment` JSON file with secrets stripped (password hash, Plaid tokens, active reset tokens, internal admin tables) for regulatory compliance.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4. Access Control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Authentication.</w:t>
      </w:r>
      <w:r>
        <w:rPr>
          <w:rFonts w:ascii="Calibri" w:hAnsi="Calibri"/>
          <w:b w:val="0"/>
          <w:sz w:val="22"/>
        </w:rPr>
        <w:t xml:space="preserve"> Customer access to Plainly Digital products is via (a) email + password (bcrypt-hashed at cost 10 minimum) or (b) Google OAuth / Apple Sign-In (JWKS-verified). Internal admin endpoints require a server-side `INTERNAL_API_KEY` header rotated at least annually and on any suspected exposure.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Authorization.</w:t>
      </w:r>
      <w:r>
        <w:rPr>
          <w:rFonts w:ascii="Calibri" w:hAnsi="Calibri"/>
          <w:b w:val="0"/>
          <w:sz w:val="22"/>
        </w:rPr>
        <w:t xml:space="preserve"> Sessions are issued as JWTs with a random `jti` claim. Logout and refresh both write the old `jti` to a `revoked_tokens` table; every request middleware-checks the table. Web sessions use httpOnly `SameSite=Strict; Secure` cookies (audit M-tier H1 closed 2026-05); mobile clients use the `Authorization` header.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Account lockout.</w:t>
      </w:r>
      <w:r>
        <w:rPr>
          <w:rFonts w:ascii="Calibri" w:hAnsi="Calibri"/>
          <w:b w:val="0"/>
          <w:sz w:val="22"/>
        </w:rPr>
        <w:t xml:space="preserve"> Failed-login counters are persisted in an `account_lockout` table (Patet migration 015 / equivalents across products) so they survive process restarts. Lockout thresholds: 10 failed attempts → 15-minute cooldown. Login timing is equalized to prevent email enumeration.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Multi-factor authentication.</w:t>
      </w:r>
      <w:r>
        <w:rPr>
          <w:rFonts w:ascii="Calibri" w:hAnsi="Calibri"/>
          <w:b w:val="0"/>
          <w:sz w:val="22"/>
        </w:rPr>
        <w:t xml:space="preserve"> MFA is on the active product roadmap (audit deferred item L10) and will be required before connecting any Plaid bank account on consumer products that integrate Plaid.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Least privilege.</w:t>
      </w:r>
      <w:r>
        <w:rPr>
          <w:rFonts w:ascii="Calibri" w:hAnsi="Calibri"/>
          <w:b w:val="0"/>
          <w:sz w:val="22"/>
        </w:rPr>
        <w:t xml:space="preserve"> Production database access is limited to the Managing Member and to the deployed Render / Cloud Run service accounts via short-lived connection strings. Local developer access uses read-only roles where supported.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Secret management.</w:t>
      </w:r>
      <w:r>
        <w:rPr>
          <w:rFonts w:ascii="Calibri" w:hAnsi="Calibri"/>
          <w:b w:val="0"/>
          <w:sz w:val="22"/>
        </w:rPr>
        <w:t xml:space="preserve"> Production secrets are stored as encrypted environment variables on Render and GCP (never committed to git). The `.gitignore` baseline excludes `.env`, `.env.*`, `server/.env*`, and `.firebase/`. Discovery of a leaked secret triggers immediate rotation (see §7) and a 24-hour incident review.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Off-boarding.</w:t>
      </w:r>
      <w:r>
        <w:rPr>
          <w:rFonts w:ascii="Calibri" w:hAnsi="Calibri"/>
          <w:b w:val="0"/>
          <w:sz w:val="22"/>
        </w:rPr>
        <w:t xml:space="preserve"> On contractor or future-employee off-boarding, all access tokens, deploy keys, and admin credentials they hold are revoked within 24 hours. The Managing Member maintains the access-ownership inventory.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5. Encryption Standards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In transit.</w:t>
      </w:r>
      <w:r>
        <w:rPr>
          <w:rFonts w:ascii="Calibri" w:hAnsi="Calibri"/>
          <w:b w:val="0"/>
          <w:sz w:val="22"/>
        </w:rPr>
        <w:t xml:space="preserve"> TLS 1.2+ is required end-to-end. All public endpoints (marketing site, app APIs, webhook receivers) are HTTPS-only with HSTS enabled. Internal service-to-service communication on GCP uses Google-managed certificates.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At rest, disk level.</w:t>
      </w:r>
      <w:r>
        <w:rPr>
          <w:rFonts w:ascii="Calibri" w:hAnsi="Calibri"/>
          <w:b w:val="0"/>
          <w:sz w:val="22"/>
        </w:rPr>
        <w:t xml:space="preserve"> All managed databases (Neon Postgres, Cloud SQL, Firebase Firestore, Supabase Postgres) use the provider's at-rest encryption by default (AES-256). Disk-level encryption alone is not relied on as the sole control for Financial / Restricted data.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At rest, application layer.</w:t>
      </w:r>
      <w:r>
        <w:rPr>
          <w:rFonts w:ascii="Calibri" w:hAnsi="Calibri"/>
          <w:b w:val="0"/>
          <w:sz w:val="22"/>
        </w:rPr>
        <w:t xml:space="preserve"> Financial / Restricted columns are encrypted at the application layer with AES-256-GCM. Keys are stored in environment variables on Render / Cloud Run and rotated on a documented schedule (next rotation: 2026-08-11). The Plaid access-token vault has used this scheme since product launch; financial-snapshot and debt-balance columns were extended to the same scheme in Patet migration 017 (2026-05-10, "PII Phase A"). A scheduled future migration drops the plaintext companion columns after backfill verification.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In memory.</w:t>
      </w:r>
      <w:r>
        <w:rPr>
          <w:rFonts w:ascii="Calibri" w:hAnsi="Calibri"/>
          <w:b w:val="0"/>
          <w:sz w:val="22"/>
        </w:rPr>
        <w:t xml:space="preserve"> Application code avoids logging Restricted data. Logger middleware redacts known field names; engineering review checks new endpoints for accidental Restricted exposure before merge.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Backups.</w:t>
      </w:r>
      <w:r>
        <w:rPr>
          <w:rFonts w:ascii="Calibri" w:hAnsi="Calibri"/>
          <w:b w:val="0"/>
          <w:sz w:val="22"/>
        </w:rPr>
        <w:t xml:space="preserve"> Database backups inherit the provider's encryption-at-rest. Plainly Digital does not export raw backups to long-term storage; restores use the provider's point-in-time recovery.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6. Vendor / Third-Party Risk</w:t>
      </w:r>
    </w:p>
    <w:p>
      <w:r>
        <w:rPr>
          <w:rFonts w:ascii="Calibri" w:hAnsi="Calibri"/>
          <w:b w:val="0"/>
          <w:sz w:val="22"/>
        </w:rPr>
        <w:t>Before integrating a new vendor that will receive Confidential or Financial / Restricted data, the Managing Member documents:</w:t>
      </w:r>
    </w:p>
    <w:p>
      <w:r>
        <w:rPr>
          <w:rFonts w:ascii="Calibri" w:hAnsi="Calibri"/>
          <w:b w:val="0"/>
          <w:sz w:val="22"/>
        </w:rPr>
        <w:t>1. The data classification the vendor will hold. 2. The vendor's SOC 2 / ISO 27001 / similar attestation, or the absence of one and the compensating reason. 3. Whether the vendor signs a Data Processing Agreement (DPA) where applicable. 4. The breach-notification SLA in the vendor contract.</w:t>
      </w:r>
    </w:p>
    <w:p>
      <w:r>
        <w:rPr>
          <w:rFonts w:ascii="Calibri" w:hAnsi="Calibri"/>
          <w:b w:val="0"/>
          <w:sz w:val="22"/>
        </w:rPr>
        <w:t>Current critical vendors and their classification scope: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Vendor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Data held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Attestation</w:t>
            </w:r>
          </w:p>
        </w:tc>
        <w:tc>
          <w:tcPr>
            <w:tcW w:type="dxa" w:w="234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Notes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Plaid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Financial bank-account data, transactions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SOC 2 Type 2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DPA in place. Access tokens encrypted at rest with AES-256-GCM. Read-only product scope (Transactions / Recurring / Balance) for current consumer apps.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Neon (Postgres)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Confidential + Financial / Restricted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SOC 2 Type 2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Disk-level encryption + application-layer encryption on the columns listed in §5.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Render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Confidential + secrets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SOC 2 Type 2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Encrypted env-var storage; production database connection strings live here.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Vercel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Public + Confidential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SOC 2 Type 2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Hosts marketing site + web exports. No Financial / Restricted data.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Firebase Hosting / GCP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Public + Confidential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ISO 27001 / SOC 2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LLC's `plainlydigital-www` project + the Glyphe app production stack.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RevenueCat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Subscription billing metadata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SOC 2 Type 2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Receives store purchase events. No direct payment-card data — handled by Apple / Google.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Anthropic (Claude API)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Conversation content with the AI coach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SOC 2 Type 2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No persistent training on customer data per Anthropic's commercial terms.</w:t>
            </w:r>
          </w:p>
        </w:tc>
      </w:tr>
    </w:tbl>
    <w:p/>
    <w:p>
      <w:r>
        <w:rPr>
          <w:rFonts w:ascii="Calibri" w:hAnsi="Calibri"/>
          <w:b w:val="0"/>
          <w:sz w:val="22"/>
        </w:rPr>
        <w:t>Vendors are re-reviewed annually as part of the policy review cycle. A vendor losing its attestation triggers a 30-day review and decision (continue / replace / drop the integration).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7. Incident Response</w:t>
      </w:r>
    </w:p>
    <w:p>
      <w:r>
        <w:rPr>
          <w:rFonts w:ascii="Calibri" w:hAnsi="Calibri"/>
          <w:b w:val="0"/>
          <w:sz w:val="22"/>
        </w:rPr>
        <w:t>Plainly Digital classifies incidents on a four-level scale: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Level</w:t>
            </w:r>
          </w:p>
        </w:tc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Definition</w:t>
            </w:r>
          </w:p>
        </w:tc>
        <w:tc>
          <w:tcPr>
            <w:tcW w:type="dxa" w:w="3120"/>
            <w:vAlign w:val="center"/>
            <w:shd w:val="clear" w:color="auto" w:fill="1F3A5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Initial response time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0 — Confirmed breach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Confirmed unauthorized access to Financial / Restricted data, OR ≥500 user records of Confidential data.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Within 1 hour.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1 — Suspected breach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Credible signal of unauthorized access pending confirmation.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Within 4 hours.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2 — Operational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Service degradation or outage with no confirmed data exposure.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Within 24 hours.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3 — Hygiene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Detected leaked secret, expired cert warning, anomalous-but-benign access pattern.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Within 7 days.</w:t>
            </w:r>
          </w:p>
        </w:tc>
      </w:tr>
    </w:tbl>
    <w:p/>
    <w:p>
      <w:r>
        <w:rPr>
          <w:rFonts w:ascii="Calibri" w:hAnsi="Calibri"/>
          <w:b/>
          <w:sz w:val="22"/>
        </w:rPr>
        <w:t>Response steps for Level 0 / 1:</w:t>
      </w:r>
    </w:p>
    <w:p>
      <w:r>
        <w:rPr>
          <w:rFonts w:ascii="Calibri" w:hAnsi="Calibri"/>
          <w:b w:val="0"/>
          <w:sz w:val="22"/>
        </w:rPr>
        <w:t>1. The Managing Member is paged and assumes incident-commander role. 2. Containment: rotate affected secrets; revoke compromised tokens (`jti` revocation table); cut off compromised service accounts. 3. Investigation: pull audit logs (`audit_event_log`, NIST AI RMF logs, infrastructure access logs); preserve timeline and scope. 4. Notification: customers whose Confidential or Financial / Restricted data was accessed are notified by email within 72 hours of confirmation (GDPR Article 33; equivalent US state laws including TN Code §47-18-2107). Plaid, the affected business partners, and any required regulators are notified per contract / law. 5. Remediation: root cause documented; the failing control is strengthened; a post-incident review report is filed in the internal incident log within 14 days.</w:t>
      </w:r>
    </w:p>
    <w:p>
      <w:r>
        <w:rPr>
          <w:rFonts w:ascii="Calibri" w:hAnsi="Calibri"/>
          <w:b/>
          <w:sz w:val="22"/>
        </w:rPr>
        <w:t>Reporting channel.</w:t>
      </w:r>
      <w:r>
        <w:rPr>
          <w:rFonts w:ascii="Calibri" w:hAnsi="Calibri"/>
          <w:b w:val="0"/>
          <w:sz w:val="22"/>
        </w:rPr>
        <w:t xml:space="preserve"> External security reports come in via `security@plainlydigital.com` and the `.well-known/security.txt` file on the marketing site. The Managing Member triages within 2 business days.</w:t>
      </w:r>
    </w:p>
    <w:p>
      <w:r>
        <w:rPr>
          <w:rFonts w:ascii="Calibri" w:hAnsi="Calibri"/>
          <w:b/>
          <w:sz w:val="22"/>
        </w:rPr>
        <w:t>Rotation events.</w:t>
      </w:r>
      <w:r>
        <w:rPr>
          <w:rFonts w:ascii="Calibri" w:hAnsi="Calibri"/>
          <w:b w:val="0"/>
          <w:sz w:val="22"/>
        </w:rPr>
        <w:t xml:space="preserve"> Any session in which a production secret is suspected of exposure triggers an immediate rotation cycle: Anthropic API key, JWT secret, encryption key, internal API key, Plaid client/secret, Neon DB password. The 2026-05-09 secret-rotation pass (Patet) is the operational reference for this procedure.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8. Change Management &amp; Secure Development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Source control.</w:t>
      </w:r>
      <w:r>
        <w:rPr>
          <w:rFonts w:ascii="Calibri" w:hAnsi="Calibri"/>
          <w:b w:val="0"/>
          <w:sz w:val="22"/>
        </w:rPr>
        <w:t xml:space="preserve"> All production code lives in git on GitHub under `jbrock1981/&lt;repo&gt;`. All work goes to `main` (no long-lived feature branches for solo-founder workflow). Force-pushes to `main` are not used. Pre-commit hooks enforce a clean build (`tsc --noEmit`, `npm test`, build) on the marketing site repo; equivalent gates exist per product.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Code review.</w:t>
      </w:r>
      <w:r>
        <w:rPr>
          <w:rFonts w:ascii="Calibri" w:hAnsi="Calibri"/>
          <w:b w:val="0"/>
          <w:sz w:val="22"/>
        </w:rPr>
        <w:t xml:space="preserve"> Until the Company hires a second engineer, the Managing Member performs self-review with a mandatory cool-off window (no commit-then-push during the same hour for changes touching authentication, payment, or PII paths). External pull requests (none today; reserved for future) require two-party approval.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Dependency management.</w:t>
      </w:r>
      <w:r>
        <w:rPr>
          <w:rFonts w:ascii="Calibri" w:hAnsi="Calibri"/>
          <w:b w:val="0"/>
          <w:sz w:val="22"/>
        </w:rPr>
        <w:t xml:space="preserve"> `npm audit --audit-level=high` runs in CI. High and critical findings block deploy until resolved. Dependency upgrades are reviewed on a quarterly cadence at minimum; security patches are applied immediately.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Testing baseline.</w:t>
      </w:r>
      <w:r>
        <w:rPr>
          <w:rFonts w:ascii="Calibri" w:hAnsi="Calibri"/>
          <w:b w:val="0"/>
          <w:sz w:val="22"/>
        </w:rPr>
        <w:t xml:space="preserve"> Every product carries a server test suite (&gt;300 tests for Patet) and an app test suite. Code reaching production must pass `tsc --noEmit` and the full Jest suite. Contract tests on auth, payments, and PII paths are required for any change to those surfaces.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AI governance.</w:t>
      </w:r>
      <w:r>
        <w:rPr>
          <w:rFonts w:ascii="Calibri" w:hAnsi="Calibri"/>
          <w:b w:val="0"/>
          <w:sz w:val="22"/>
        </w:rPr>
        <w:t xml:space="preserve"> Every AI-backed feature follows the three-layer Glyphe architecture (shared personality / per-app domain / per-user personalization) and the NIST AI Risk Management Framework documented in `Patet/docs/NIST-AI-GOVERNANCE.md`. Crisis-safety language and 211/988 escalation rules are invariant across all persona overlays and cannot be stripped by a persona switch.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Deployment.</w:t>
      </w:r>
      <w:r>
        <w:rPr>
          <w:rFonts w:ascii="Calibri" w:hAnsi="Calibri"/>
          <w:b w:val="0"/>
          <w:sz w:val="22"/>
        </w:rPr>
        <w:t xml:space="preserve"> Cloud Build / Render auto-deploy on push to `main`. Failed deploys roll back to the previous live revision automatically. Manual rollback is `gcloud run services update-traffic --to-revisions=&lt;prior-rev&gt;=100` on Cloud Run or the equivalent Render redeploy.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9. Operational Controls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Application hardening.</w:t>
      </w:r>
      <w:r>
        <w:rPr>
          <w:rFonts w:ascii="Calibri" w:hAnsi="Calibri"/>
          <w:b w:val="0"/>
          <w:sz w:val="22"/>
        </w:rPr>
        <w:t xml:space="preserve"> Every public API runs behind Helmet (security headers), CORS allowlist, body-size limits, input validation, and per-route rate limiting. Cost-Guard middleware enforces per-tier daily and monthly call limits on AI endpoints with bonus-call accounting for paid top-ups and referrals.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Audit logging.</w:t>
      </w:r>
      <w:r>
        <w:rPr>
          <w:rFonts w:ascii="Calibri" w:hAnsi="Calibri"/>
          <w:b w:val="0"/>
          <w:sz w:val="22"/>
        </w:rPr>
        <w:t xml:space="preserve"> Security-relevant events are written to an `audit_event_log` table or equivalent file sink: authentication outcomes, password resets, token revocations, AI guardrail triggers (prompt injection / role override / safety bypass attempts), and admin operations. Logs are retained for at least 90 days.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Backups &amp; disaster recovery.</w:t>
      </w:r>
      <w:r>
        <w:rPr>
          <w:rFonts w:ascii="Calibri" w:hAnsi="Calibri"/>
          <w:b w:val="0"/>
          <w:sz w:val="22"/>
        </w:rPr>
        <w:t xml:space="preserve"> Managed-provider point-in-time recovery covers production databases. The recovery-time objective (RTO) is 24 hours and the recovery-point objective (RPO) is 24 hours for consumer apps in the current single-founder operating posture.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Monitoring.</w:t>
      </w:r>
      <w:r>
        <w:rPr>
          <w:rFonts w:ascii="Calibri" w:hAnsi="Calibri"/>
          <w:b w:val="0"/>
          <w:sz w:val="22"/>
        </w:rPr>
        <w:t xml:space="preserve"> Sentry captures application errors. Render and Cloud Run dashboards surface availability. The Managing Member reviews error dashboards weekly and after every production deploy.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10. Privacy &amp; Regulatory Posture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CCPA / GDPR right to access.</w:t>
      </w:r>
      <w:r>
        <w:rPr>
          <w:rFonts w:ascii="Calibri" w:hAnsi="Calibri"/>
          <w:b w:val="0"/>
          <w:sz w:val="22"/>
        </w:rPr>
        <w:t xml:space="preserve"> Self-serve data export available in every product that holds Confidential or Restricted data (`GET /api/auth/me/export` on Patet; equivalent endpoints to be confirmed on each launching app).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Right to erasure.</w:t>
      </w:r>
      <w:r>
        <w:rPr>
          <w:rFonts w:ascii="Calibri" w:hAnsi="Calibri"/>
          <w:b w:val="0"/>
          <w:sz w:val="22"/>
        </w:rPr>
        <w:t xml:space="preserve"> Account deletion (`DELETE /api/auth/me`) cascades to all per-user tables via foreign-key `ON DELETE CASCADE`. Plaid items are revoked at the Plaid API on account deletion. The data-retention default is "delete on account-close" for Confidential data and "anonymize on account-close" for aggregate analytics.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Children's data.</w:t>
      </w:r>
      <w:r>
        <w:rPr>
          <w:rFonts w:ascii="Calibri" w:hAnsi="Calibri"/>
          <w:b w:val="0"/>
          <w:sz w:val="22"/>
        </w:rPr>
        <w:t xml:space="preserve"> No Plainly Digital product knowingly collects data from users under 13 (COPPA). Patet's published audience is 18-28. Apps with potentially younger users (e.g., future K-12 financial-literacy curriculum licensing) will gate at the school/district account level rather than collect individual children's data.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Financial-advice posture.</w:t>
      </w:r>
      <w:r>
        <w:rPr>
          <w:rFonts w:ascii="Calibri" w:hAnsi="Calibri"/>
          <w:b w:val="0"/>
          <w:sz w:val="22"/>
        </w:rPr>
        <w:t xml:space="preserve"> Plainly Digital products do not provide licensed financial, legal, or medical advice. AI coach output is educational; users in financial crisis are directed to 211.org, federal student-loan hardship options, and other regulated resources. No money-movement features (transfers, sweeps, automated payments) are offered.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11. Training, Awareness &amp; Review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Founder / employee training.</w:t>
      </w:r>
      <w:r>
        <w:rPr>
          <w:rFonts w:ascii="Calibri" w:hAnsi="Calibri"/>
          <w:b w:val="0"/>
          <w:sz w:val="22"/>
        </w:rPr>
        <w:t xml:space="preserve"> The Managing Member completes a refresher each calendar year on (a) phishing recognition, (b) secret-handling, (c) data-classification rules in §3, and (d) the incident-response flow in §7. Future employees and contractors complete the same training during their first 30 days and annually thereafter.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Customer awareness.</w:t>
      </w:r>
      <w:r>
        <w:rPr>
          <w:rFonts w:ascii="Calibri" w:hAnsi="Calibri"/>
          <w:b w:val="0"/>
          <w:sz w:val="22"/>
        </w:rPr>
        <w:t xml:space="preserve"> Customer-facing security guidance is published at `https://plainlydigital.com/security` and within each app's privacy policy. The `.well-known/security.txt` file lists the disclosure channel.</w:t>
      </w:r>
    </w:p>
    <w:p>
      <w:pPr>
        <w:pStyle w:val="ListBullet"/>
        <w:spacing w:after="40"/>
      </w:pPr>
      <w:r>
        <w:rPr>
          <w:rFonts w:ascii="Calibri" w:hAnsi="Calibri"/>
          <w:b/>
          <w:sz w:val="22"/>
        </w:rPr>
        <w:t>Policy review.</w:t>
      </w:r>
      <w:r>
        <w:rPr>
          <w:rFonts w:ascii="Calibri" w:hAnsi="Calibri"/>
          <w:b w:val="0"/>
          <w:sz w:val="22"/>
        </w:rPr>
        <w:t xml:space="preserve"> This document is reviewed at least annually by the Managing Member. Material changes to vendors, regulatory requirements, or product scope trigger an out-of-cycle review within 30 days. The version history is preserved in git; changes are committed with descriptive messages.</w:t>
      </w:r>
    </w:p>
    <w:p/>
    <w:p>
      <w:pPr>
        <w:keepNext/>
        <w:spacing w:before="160" w:after="80"/>
      </w:pPr>
      <w:r>
        <w:rPr>
          <w:rFonts w:ascii="Calibri" w:hAnsi="Calibri"/>
          <w:b/>
          <w:color w:val="1F3A5F"/>
          <w:sz w:val="28"/>
        </w:rPr>
        <w:t>12. Acknowledgement</w:t>
      </w:r>
    </w:p>
    <w:p>
      <w:r>
        <w:rPr>
          <w:rFonts w:ascii="Calibri" w:hAnsi="Calibri"/>
          <w:b w:val="0"/>
          <w:sz w:val="22"/>
        </w:rPr>
        <w:t>By accepting this policy, the Managing Member (and any future employee or contractor with production access) commits to: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Following the controls in §3-§11.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Reporting suspected incidents via the channel in §7 immediately.</w:t>
      </w:r>
    </w:p>
    <w:p>
      <w:pPr>
        <w:pStyle w:val="ListBullet"/>
        <w:spacing w:after="40"/>
      </w:pPr>
      <w:r>
        <w:rPr>
          <w:rFonts w:ascii="Calibri" w:hAnsi="Calibri"/>
          <w:b w:val="0"/>
          <w:sz w:val="22"/>
        </w:rPr>
        <w:t>Refusing to bypass any control without written risk-acceptance from the Managing Member.</w:t>
      </w:r>
    </w:p>
    <w:p>
      <w:pPr>
        <w:pBdr>
          <w:bottom w:val="single" w:sz="6" w:space="1" w:color="999999"/>
        </w:pBdr>
      </w:pPr>
    </w:p>
    <w:p>
      <w:r>
        <w:rPr>
          <w:rFonts w:ascii="Calibri" w:hAnsi="Calibri"/>
          <w:b/>
          <w:sz w:val="22"/>
        </w:rPr>
        <w:t>Signed:</w:t>
      </w:r>
      <w:r>
        <w:rPr>
          <w:rFonts w:ascii="Calibri" w:hAnsi="Calibri"/>
          <w:b w:val="0"/>
          <w:sz w:val="22"/>
        </w:rPr>
        <w:t xml:space="preserve"> Jonathan Brock, Managing Member, Plainly Digital LLC </w:t>
      </w:r>
      <w:r>
        <w:rPr>
          <w:rFonts w:ascii="Calibri" w:hAnsi="Calibri"/>
          <w:b/>
          <w:sz w:val="22"/>
        </w:rPr>
        <w:t>Date:</w:t>
      </w:r>
      <w:r>
        <w:rPr>
          <w:rFonts w:ascii="Calibri" w:hAnsi="Calibri"/>
          <w:b w:val="0"/>
          <w:sz w:val="22"/>
        </w:rPr>
        <w:t xml:space="preserve"> 2026-05-11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0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