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F3A5F"/>
          <w:sz w:val="44"/>
        </w:rPr>
        <w:t>Plainly Digital LLC — Information Security Policy</w:t>
      </w:r>
    </w:p>
    <w:p>
      <w:pPr>
        <w:spacing w:after="40"/>
        <w:jc w:val="center"/>
      </w:pPr>
      <w:r>
        <w:rPr>
          <w:rFonts w:ascii="Calibri" w:hAnsi="Calibri"/>
          <w:b/>
          <w:color w:val="444444"/>
          <w:sz w:val="22"/>
        </w:rPr>
        <w:t>Document version:</w:t>
      </w:r>
      <w:r>
        <w:rPr>
          <w:rFonts w:ascii="Calibri" w:hAnsi="Calibri"/>
          <w:b w:val="0"/>
          <w:color w:val="444444"/>
          <w:sz w:val="22"/>
        </w:rPr>
        <w:t xml:space="preserve"> 1.0 </w:t>
      </w:r>
      <w:r>
        <w:rPr>
          <w:rFonts w:ascii="Calibri" w:hAnsi="Calibri"/>
          <w:b/>
          <w:color w:val="444444"/>
          <w:sz w:val="22"/>
        </w:rPr>
        <w:t>Effective date:</w:t>
      </w:r>
      <w:r>
        <w:rPr>
          <w:rFonts w:ascii="Calibri" w:hAnsi="Calibri"/>
          <w:b w:val="0"/>
          <w:color w:val="444444"/>
          <w:sz w:val="22"/>
        </w:rPr>
        <w:t xml:space="preserve"> 2026-05-11 </w:t>
      </w:r>
      <w:r>
        <w:rPr>
          <w:rFonts w:ascii="Calibri" w:hAnsi="Calibri"/>
          <w:b/>
          <w:color w:val="444444"/>
          <w:sz w:val="22"/>
        </w:rPr>
        <w:t>Owner:</w:t>
      </w:r>
      <w:r>
        <w:rPr>
          <w:rFonts w:ascii="Calibri" w:hAnsi="Calibri"/>
          <w:b w:val="0"/>
          <w:color w:val="444444"/>
          <w:sz w:val="22"/>
        </w:rPr>
        <w:t xml:space="preserve"> Jonathan Brock, Managing Member (Plainly Digital LLC) </w:t>
      </w:r>
      <w:r>
        <w:rPr>
          <w:rFonts w:ascii="Calibri" w:hAnsi="Calibri"/>
          <w:b/>
          <w:color w:val="444444"/>
          <w:sz w:val="22"/>
        </w:rPr>
        <w:t>Review cadence:</w:t>
      </w:r>
      <w:r>
        <w:rPr>
          <w:rFonts w:ascii="Calibri" w:hAnsi="Calibri"/>
          <w:b w:val="0"/>
          <w:color w:val="444444"/>
          <w:sz w:val="22"/>
        </w:rPr>
        <w:t xml:space="preserve"> Annual (next scheduled review: 2027-05-11), or within 30 days of a material change to systems, vendors, or applicable law. </w:t>
      </w:r>
      <w:r>
        <w:rPr>
          <w:rFonts w:ascii="Calibri" w:hAnsi="Calibri"/>
          <w:b/>
          <w:color w:val="444444"/>
          <w:sz w:val="22"/>
        </w:rPr>
        <w:t>Governing law:</w:t>
      </w:r>
      <w:r>
        <w:rPr>
          <w:rFonts w:ascii="Calibri" w:hAnsi="Calibri"/>
          <w:b w:val="0"/>
          <w:color w:val="444444"/>
          <w:sz w:val="22"/>
        </w:rPr>
        <w:t xml:space="preserve"> Tennessee, USA.</w:t>
      </w:r>
    </w:p>
    <w:p>
      <w:pPr>
        <w:pBdr>
          <w:bottom w:val="single" w:sz="6" w:space="1" w:color="999999"/>
        </w:pBdr>
      </w:pP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1. Purpose &amp; Scope</w:t>
      </w:r>
    </w:p>
    <w:p>
      <w:r>
        <w:rPr>
          <w:rFonts w:ascii="Calibri" w:hAnsi="Calibri"/>
          <w:b w:val="0"/>
          <w:sz w:val="22"/>
        </w:rPr>
        <w:t>This policy defines how Plainly Digital LLC ("Plainly Digital," "the Company") identifies, mitigates, and monitors information-security risk relevant to its business. It applies to every system, vendor, employee, and contractor that handles Plainly Digital customer data, financial data, or production infrastructure across the Company's products: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Patet</w:t>
      </w:r>
      <w:r>
        <w:rPr>
          <w:rFonts w:ascii="Calibri" w:hAnsi="Calibri"/>
          <w:b w:val="0"/>
          <w:sz w:val="22"/>
        </w:rPr>
        <w:t xml:space="preserve"> — personal-finance literacy app (consumer)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Vinla</w:t>
      </w:r>
      <w:r>
        <w:rPr>
          <w:rFonts w:ascii="Calibri" w:hAnsi="Calibri"/>
          <w:b w:val="0"/>
          <w:sz w:val="22"/>
        </w:rPr>
        <w:t xml:space="preserve"> — personal wellness app (consumer)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Winlet</w:t>
      </w:r>
      <w:r>
        <w:rPr>
          <w:rFonts w:ascii="Calibri" w:hAnsi="Calibri"/>
          <w:b w:val="0"/>
          <w:sz w:val="22"/>
        </w:rPr>
        <w:t xml:space="preserve"> — wins/anti-streak tracker (consumer)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Glyphe</w:t>
      </w:r>
      <w:r>
        <w:rPr>
          <w:rFonts w:ascii="Calibri" w:hAnsi="Calibri"/>
          <w:b w:val="0"/>
          <w:sz w:val="22"/>
        </w:rPr>
        <w:t xml:space="preserve"> — AI life-advisor app (consumer) and the AI-coach personality embedded in each of the above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CastFreely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Tradingly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Fraus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Salvis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ClearDoc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SitterSheet</w:t>
      </w:r>
      <w:r>
        <w:rPr>
          <w:rFonts w:ascii="Calibri" w:hAnsi="Calibri"/>
          <w:b w:val="0"/>
          <w:sz w:val="22"/>
        </w:rPr>
        <w:t xml:space="preserve"> — additional products under the same controls baseline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The marketing site at `https://plainlydigital.com`</w:t>
      </w:r>
    </w:p>
    <w:p>
      <w:r>
        <w:rPr>
          <w:rFonts w:ascii="Calibri" w:hAnsi="Calibri"/>
          <w:b w:val="0"/>
          <w:sz w:val="22"/>
        </w:rPr>
        <w:t>The policy applies regardless of where data is stored (Neon Postgres, Cloud SQL, Firebase, Vercel, Render, GCP, third-party SaaS) and regardless of whether the data is at rest, in transit, or in processing.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2. Roles &amp; Responsibilities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Held by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Managing Member / Security Officer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Jonathan Brock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Final approval of this policy; risk-acceptance decisions; incident-response decision authority; vendor-onboarding sign-off.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Engineering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Jonathan Brock (solo founder)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Implement controls; review code; respond to incidents; maintain audit logs.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Successor Managing Member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Designated spouse (per LLC Operating Agreement §6.4)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Assumes Managing Member duties on incapacity per the operating agreement.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Customers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App users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Use strong, unique passwords; report suspected security issues to `security@plainlydigital.com`.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Because Plainly Digital is a solo-founder LLC, the Managing Member fulfills the "CISO equivalent" responsibilities. Any future hire whose role touches production or customer data inherits the responsibilities in §3-§11 of this policy on their first day and is required to acknowledge it in writing.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3. Data Classification &amp; Handling</w:t>
      </w:r>
    </w:p>
    <w:p>
      <w:r>
        <w:rPr>
          <w:rFonts w:ascii="Calibri" w:hAnsi="Calibri"/>
          <w:b w:val="0"/>
          <w:sz w:val="22"/>
        </w:rPr>
        <w:t>The Company classifies data into four tiers. Controls in this policy reference these tiers by name.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Class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Examples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Required controls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Public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Information intended for public consumption.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Marketing copy, lesson curriculum, lesson titles, blog posts.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None beyond integrity (no tampering).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Internal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Operational data with no direct customer or financial value.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Internal Jira-style task lists, code comments, infrastructure diagrams.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Access limited to authorized personnel.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Confidential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Customer-identifying or behavior data.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User name, email, lesson progress, push tokens, IP addresses, device fingerprints.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TLS 1.2+ in transit. Access logged. Removed on account deletion (CCPA/GDPR right-to-erasure).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Financial / Restricted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Money values, account identifiers, government IDs, secrets.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Take-home pay, debt balances, Plaid access tokens, OAuth refresh tokens, API keys, JWT secrets, encryption keys, FICO scores.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AES-256-GCM application-layer encryption at rest in addition to disk-level encryption. Never logged in plaintext. Never displayed in admin UIs without explicit per-row reason. Subject to data-export bundle on user request (CCPA/GDPR Article 15).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A user data-export bundle (`GET /api/auth/me/export` in Patet) returns the full per-user dataset as a `Content-Disposition: attachment` JSON file with secrets stripped (password hash, Plaid tokens, active reset tokens, internal admin tables) for regulatory compliance.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4. Access Control</w:t>
      </w:r>
    </w:p>
    <w:p>
      <w:r>
        <w:rPr>
          <w:rFonts w:ascii="Calibri" w:hAnsi="Calibri"/>
          <w:b w:val="0"/>
          <w:sz w:val="22"/>
        </w:rPr>
        <w:t xml:space="preserve">The canonical, detailed access-control controls are in the companion </w:t>
      </w:r>
      <w:r>
        <w:rPr>
          <w:rFonts w:ascii="Calibri" w:hAnsi="Calibri"/>
          <w:b/>
          <w:sz w:val="22"/>
        </w:rPr>
        <w:t>Access Control Policy</w:t>
      </w:r>
      <w:r>
        <w:rPr>
          <w:rFonts w:ascii="Calibri" w:hAnsi="Calibri"/>
          <w:b w:val="0"/>
          <w:sz w:val="22"/>
        </w:rPr>
        <w:t xml:space="preserve"> (Document 10). The summary below is the abbreviated form retained here for self-contained reading; partners requesting access-control evidence should refer to Document 10.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Role taxonomy.</w:t>
      </w:r>
      <w:r>
        <w:rPr>
          <w:rFonts w:ascii="Calibri" w:hAnsi="Calibri"/>
          <w:b w:val="0"/>
          <w:sz w:val="22"/>
        </w:rPr>
        <w:t xml:space="preserve"> Three roles enforced at the database (`users.role` CHECK constraint) and application layer (`requireRole()` middleware): `'user'` (consumer), `'support'` (read-only operator), `'admin'` (full mutator). Default is `'user'`; no implicit privilege escalation.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Authentication.</w:t>
      </w:r>
      <w:r>
        <w:rPr>
          <w:rFonts w:ascii="Calibri" w:hAnsi="Calibri"/>
          <w:b w:val="0"/>
          <w:sz w:val="22"/>
        </w:rPr>
        <w:t xml:space="preserve"> Customer access is via email + password (bcrypt cost ≥10), Google OAuth, or Apple Sign-In (JWKS-verified). Admin / support identities are normal customer JWTs promoted via an audited `POST /api/admin/roles`. Hardware-key second factor (FIDO2/WebAuthn) is required on every vendor console used by the Managing Member.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Authorization.</w:t>
      </w:r>
      <w:r>
        <w:rPr>
          <w:rFonts w:ascii="Calibri" w:hAnsi="Calibri"/>
          <w:b w:val="0"/>
          <w:sz w:val="22"/>
        </w:rPr>
        <w:t xml:space="preserve"> Sessions are signed JWTs (HS256) bound to a random `jti`. Logout, refresh, and per-session revoke each write to the persistent `revoked_tokens` list checked by middleware on every request. Web sessions use httpOnly + `SameSite=Strict` + `Secure` cookies (audit M-tier H1 closed 2026-05); mobile keeps the `Authorization` header.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Session management.</w:t>
      </w:r>
      <w:r>
        <w:rPr>
          <w:rFonts w:ascii="Calibri" w:hAnsi="Calibri"/>
          <w:b w:val="0"/>
          <w:sz w:val="22"/>
        </w:rPr>
        <w:t xml:space="preserve"> Per-session metadata (IP, user-agent, client kind, issued / expires / last-seen / revoked-at) is recorded in `user_sessions` (migration 022). Users can list and self-revoke individual sessions; password change and account deletion force-revoke all active sessions.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Account lockout.</w:t>
      </w:r>
      <w:r>
        <w:rPr>
          <w:rFonts w:ascii="Calibri" w:hAnsi="Calibri"/>
          <w:b w:val="0"/>
          <w:sz w:val="22"/>
        </w:rPr>
        <w:t xml:space="preserve"> Persistent failed-login counters in `account_lockout`: 10 attempts / 15 min → 15-min cooldown. Login timing equalized against email enumeration.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Multi-factor authentication.</w:t>
      </w:r>
      <w:r>
        <w:rPr>
          <w:rFonts w:ascii="Calibri" w:hAnsi="Calibri"/>
          <w:b w:val="0"/>
          <w:sz w:val="22"/>
        </w:rPr>
        <w:t xml:space="preserve"> TOTP MFA is implemented (Patet migration 023, `server/src/lib/mfa.ts`) and enforced as a hard gate before Plaid Link is surfaced — `POST /api/plaid/link-token` returns `403 mfa_required` when no MFA record exists and `403 mfa_step_up_required` when the step-up window expired. Mobile + web setup/challenge UI ships in the Patet client. Hardware-key (FIDO2/WebAuthn) MFA is enforced on every vendor console held by the Managing Member. Full controls in Access Control Policy §4.1.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Audit logging &amp; periodic review.</w:t>
      </w:r>
      <w:r>
        <w:rPr>
          <w:rFonts w:ascii="Calibri" w:hAnsi="Calibri"/>
          <w:b w:val="0"/>
          <w:sz w:val="22"/>
        </w:rPr>
        <w:t xml:space="preserve"> Every admin / support action writes a row to `system_audit_log` (migration 022) with actor, role, action, target, metadata, IP, user-agent. The Managing Member runs a quarterly operator-inventory + 90-day admin-action review; monthly anomaly review on concurrent customer sessions. Retention: 24 months for `system_audit_log`, 90 days for hosted stdout auth logs (migrating to GCP Cloud Logging in Q3 2026).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Least privilege.</w:t>
      </w:r>
      <w:r>
        <w:rPr>
          <w:rFonts w:ascii="Calibri" w:hAnsi="Calibri"/>
          <w:b w:val="0"/>
          <w:sz w:val="22"/>
        </w:rPr>
        <w:t xml:space="preserve"> Production database connections use a single application role per product with `INSERT / UPDATE / SELECT / DELETE` only — no `DROP / TRUNCATE / GRANT`. DDL goes through a separately-scoped migration role. GCP IAM defaults to lower-tier roles for day-to-day work; `Owner` requires deliberate console-level elevation.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Secret management.</w:t>
      </w:r>
      <w:r>
        <w:rPr>
          <w:rFonts w:ascii="Calibri" w:hAnsi="Calibri"/>
          <w:b w:val="0"/>
          <w:sz w:val="22"/>
        </w:rPr>
        <w:t xml:space="preserve"> Production secrets live as encrypted environment variables on Render / Cloud Run, never in git. `.gitignore` baseline excludes `.env`, `.env.*`, `server/.env*`, `.firebase/`. Discovery of a leaked secret triggers immediate rotation (§7) and a 24-hour incident review. `INTERNAL_API_KEY` rotated at least annually; last rotation 2026-05-09.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Off-boarding.</w:t>
      </w:r>
      <w:r>
        <w:rPr>
          <w:rFonts w:ascii="Calibri" w:hAnsi="Calibri"/>
          <w:b w:val="0"/>
          <w:sz w:val="22"/>
        </w:rPr>
        <w:t xml:space="preserve"> All access tokens, deploy keys, and admin credentials held by a departing party are revoked within 24 hours (4 hours for Administrator-tier). Automated de-provisioning (HRIS-triggered SCIM) is not yet implemented; appropriate to the current single-founder posture and revisited at headcount ≥3.</w:t>
      </w:r>
    </w:p>
    <w:p>
      <w:r>
        <w:rPr>
          <w:rFonts w:ascii="Calibri" w:hAnsi="Calibri"/>
          <w:b w:val="0"/>
          <w:sz w:val="22"/>
        </w:rPr>
        <w:t>See Document 10 §3-§9 for the full account-management, identification &amp; authentication, access-enforcement, session-management, audit, and remote-access controls, and Appendix A for the NIST SP 800-53 Rev 5 control-inheritance mapping.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5. Encryption Standards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In transit.</w:t>
      </w:r>
      <w:r>
        <w:rPr>
          <w:rFonts w:ascii="Calibri" w:hAnsi="Calibri"/>
          <w:b w:val="0"/>
          <w:sz w:val="22"/>
        </w:rPr>
        <w:t xml:space="preserve"> TLS 1.2+ is required end-to-end. All public endpoints (marketing site, app APIs, webhook receivers) are HTTPS-only with HSTS enabled. Internal service-to-service communication on GCP uses Google-managed certificates.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At rest, disk level.</w:t>
      </w:r>
      <w:r>
        <w:rPr>
          <w:rFonts w:ascii="Calibri" w:hAnsi="Calibri"/>
          <w:b w:val="0"/>
          <w:sz w:val="22"/>
        </w:rPr>
        <w:t xml:space="preserve"> All managed databases (Neon Postgres, Cloud SQL, Firebase Firestore, Supabase Postgres) use the provider's at-rest encryption by default (AES-256). Disk-level encryption alone is not relied on as the sole control for Financial / Restricted data.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At rest, application layer.</w:t>
      </w:r>
      <w:r>
        <w:rPr>
          <w:rFonts w:ascii="Calibri" w:hAnsi="Calibri"/>
          <w:b w:val="0"/>
          <w:sz w:val="22"/>
        </w:rPr>
        <w:t xml:space="preserve"> Financial / Restricted columns are encrypted at the application layer with AES-256-GCM. Keys are stored in environment variables on Render / Cloud Run and rotated on a documented schedule (next rotation: 2026-08-11). The Plaid access-token vault has used this scheme since product launch; financial-snapshot and debt-balance columns were extended to the same scheme in Patet migration 017 (2026-05-10, "PII Phase A"). A scheduled future migration drops the plaintext companion columns after backfill verification.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In memory.</w:t>
      </w:r>
      <w:r>
        <w:rPr>
          <w:rFonts w:ascii="Calibri" w:hAnsi="Calibri"/>
          <w:b w:val="0"/>
          <w:sz w:val="22"/>
        </w:rPr>
        <w:t xml:space="preserve"> Application code avoids logging Restricted data. Logger middleware redacts known field names; engineering review checks new endpoints for accidental Restricted exposure before merge.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Backups.</w:t>
      </w:r>
      <w:r>
        <w:rPr>
          <w:rFonts w:ascii="Calibri" w:hAnsi="Calibri"/>
          <w:b w:val="0"/>
          <w:sz w:val="22"/>
        </w:rPr>
        <w:t xml:space="preserve"> Database backups inherit the provider's encryption-at-rest. Plainly Digital does not export raw backups to long-term storage; restores use the provider's point-in-time recovery.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6. Vendor / Third-Party Risk</w:t>
      </w:r>
    </w:p>
    <w:p>
      <w:r>
        <w:rPr>
          <w:rFonts w:ascii="Calibri" w:hAnsi="Calibri"/>
          <w:b w:val="0"/>
          <w:sz w:val="22"/>
        </w:rPr>
        <w:t>Before integrating a new vendor that will receive Confidential or Financial / Restricted data, the Managing Member documents:</w:t>
      </w:r>
    </w:p>
    <w:p>
      <w:r>
        <w:rPr>
          <w:rFonts w:ascii="Calibri" w:hAnsi="Calibri"/>
          <w:b w:val="0"/>
          <w:sz w:val="22"/>
        </w:rPr>
        <w:t>1. The data classification the vendor will hold. 2. The vendor's SOC 2 / ISO 27001 / similar attestation, or the absence of one and the compensating reason. 3. Whether the vendor signs a Data Processing Agreement (DPA) where applicable. 4. The breach-notification SLA in the vendor contract.</w:t>
      </w:r>
    </w:p>
    <w:p>
      <w:r>
        <w:rPr>
          <w:rFonts w:ascii="Calibri" w:hAnsi="Calibri"/>
          <w:b w:val="0"/>
          <w:sz w:val="22"/>
        </w:rPr>
        <w:t>Current critical vendors and their classification scope: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Vendor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Data held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Attestation</w:t>
            </w:r>
          </w:p>
        </w:tc>
        <w:tc>
          <w:tcPr>
            <w:tcW w:type="dxa" w:w="234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Plaid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Financial bank-account data, transactions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SOC 2 Type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DPA in place. Access tokens encrypted at rest with AES-256-GCM. Read-only product scope (Transactions / Recurring / Balance) for current consumer apps.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Neon (Postgres)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Confidential + Financial / Restricted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SOC 2 Type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Disk-level encryption + application-layer encryption on the columns listed in §5.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Render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Confidential + secrets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SOC 2 Type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Encrypted env-var storage; production database connection strings live here.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Vercel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Public + Confidential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SOC 2 Type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Hosts marketing site + web exports. No Financial / Restricted data.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Firebase Hosting / GCP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Public + Confidential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ISO 27001 / SOC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LLC's `plainlydigital-www` project + the Glyphe app production stack.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RevenueCat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Subscription billing metadata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SOC 2 Type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Receives store purchase events. No direct payment-card data — handled by Apple / Google.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Anthropic (Claude API)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Conversation content with the AI coach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SOC 2 Type 2</w:t>
            </w:r>
          </w:p>
        </w:tc>
        <w:tc>
          <w:tcPr>
            <w:tcW w:type="dxa" w:w="234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No persistent training on customer data per Anthropic's commercial terms.</w:t>
            </w:r>
          </w:p>
        </w:tc>
      </w:tr>
    </w:tbl>
    <w:p/>
    <w:p>
      <w:r>
        <w:rPr>
          <w:rFonts w:ascii="Calibri" w:hAnsi="Calibri"/>
          <w:b w:val="0"/>
          <w:sz w:val="22"/>
        </w:rPr>
        <w:t>Vendors are re-reviewed annually as part of the policy review cycle. A vendor losing its attestation triggers a 30-day review and decision (continue / replace / drop the integration).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7. Incident Response</w:t>
      </w:r>
    </w:p>
    <w:p>
      <w:r>
        <w:rPr>
          <w:rFonts w:ascii="Calibri" w:hAnsi="Calibri"/>
          <w:b w:val="0"/>
          <w:sz w:val="22"/>
        </w:rPr>
        <w:t>Plainly Digital classifies incidents on a four-level scale: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Level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Definition</w:t>
            </w:r>
          </w:p>
        </w:tc>
        <w:tc>
          <w:tcPr>
            <w:tcW w:type="dxa" w:w="3120"/>
            <w:vAlign w:val="center"/>
            <w:shd w:val="clear" w:color="auto" w:fill="1F3A5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Initial response time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0 — Confirmed breach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Confirmed unauthorized access to Financial / Restricted data, OR ≥500 user records of Confidential data.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Within 1 hour.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1 — Suspected breach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Credible signal of unauthorized access pending confirmation.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Within 4 hours.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2 — Operational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Service degradation or outage with no confirmed data exposure.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Within 24 hours.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22"/>
              </w:rPr>
              <w:t>3 — Hygiene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Detected leaked secret, expired cert warning, anomalous-but-benign access pattern.</w:t>
            </w:r>
          </w:p>
        </w:tc>
        <w:tc>
          <w:tcPr>
            <w:tcW w:type="dxa" w:w="312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Within 7 days.</w:t>
            </w:r>
          </w:p>
        </w:tc>
      </w:tr>
    </w:tbl>
    <w:p/>
    <w:p>
      <w:r>
        <w:rPr>
          <w:rFonts w:ascii="Calibri" w:hAnsi="Calibri"/>
          <w:b/>
          <w:sz w:val="22"/>
        </w:rPr>
        <w:t>Response steps for Level 0 / 1:</w:t>
      </w:r>
    </w:p>
    <w:p>
      <w:r>
        <w:rPr>
          <w:rFonts w:ascii="Calibri" w:hAnsi="Calibri"/>
          <w:b w:val="0"/>
          <w:sz w:val="22"/>
        </w:rPr>
        <w:t>1. The Managing Member is paged and assumes incident-commander role. 2. Containment: rotate affected secrets; revoke compromised tokens (`jti` revocation table); cut off compromised service accounts. 3. Investigation: pull audit logs (`audit_event_log`, NIST AI RMF logs, infrastructure access logs); preserve timeline and scope. 4. Notification: customers whose Confidential or Financial / Restricted data was accessed are notified by email within 72 hours of confirmation (GDPR Article 33; equivalent US state laws including TN Code §47-18-2107). Plaid, the affected business partners, and any required regulators are notified per contract / law. 5. Remediation: root cause documented; the failing control is strengthened; a post-incident review report is filed in the internal incident log within 14 days.</w:t>
      </w:r>
    </w:p>
    <w:p>
      <w:r>
        <w:rPr>
          <w:rFonts w:ascii="Calibri" w:hAnsi="Calibri"/>
          <w:b/>
          <w:sz w:val="22"/>
        </w:rPr>
        <w:t>Reporting channel.</w:t>
      </w:r>
      <w:r>
        <w:rPr>
          <w:rFonts w:ascii="Calibri" w:hAnsi="Calibri"/>
          <w:b w:val="0"/>
          <w:sz w:val="22"/>
        </w:rPr>
        <w:t xml:space="preserve"> External security reports come in via `security@plainlydigital.com` and the `.well-known/security.txt` file on the marketing site. The Managing Member triages within 2 business days.</w:t>
      </w:r>
    </w:p>
    <w:p>
      <w:r>
        <w:rPr>
          <w:rFonts w:ascii="Calibri" w:hAnsi="Calibri"/>
          <w:b/>
          <w:sz w:val="22"/>
        </w:rPr>
        <w:t>Rotation events.</w:t>
      </w:r>
      <w:r>
        <w:rPr>
          <w:rFonts w:ascii="Calibri" w:hAnsi="Calibri"/>
          <w:b w:val="0"/>
          <w:sz w:val="22"/>
        </w:rPr>
        <w:t xml:space="preserve"> Any session in which a production secret is suspected of exposure triggers an immediate rotation cycle: Anthropic API key, JWT secret, encryption key, internal API key, Plaid client/secret, Neon DB password. The 2026-05-09 secret-rotation pass (Patet) is the operational reference for this procedure.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8. Change Management &amp; Secure Development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Source control.</w:t>
      </w:r>
      <w:r>
        <w:rPr>
          <w:rFonts w:ascii="Calibri" w:hAnsi="Calibri"/>
          <w:b w:val="0"/>
          <w:sz w:val="22"/>
        </w:rPr>
        <w:t xml:space="preserve"> All production code lives in git on GitHub under `jbrock1981/&lt;repo&gt;`. All work goes to `main` (no long-lived feature branches for solo-founder workflow). Force-pushes to `main` are not used. Pre-commit hooks enforce a clean build (`tsc --noEmit`, `npm test`, build) on the marketing site repo; equivalent gates exist per product.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Code review.</w:t>
      </w:r>
      <w:r>
        <w:rPr>
          <w:rFonts w:ascii="Calibri" w:hAnsi="Calibri"/>
          <w:b w:val="0"/>
          <w:sz w:val="22"/>
        </w:rPr>
        <w:t xml:space="preserve"> Until the Company hires a second engineer, the Managing Member performs self-review with a mandatory cool-off window (no commit-then-push during the same hour for changes touching authentication, payment, or PII paths). External pull requests (none today; reserved for future) require two-party approval.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Dependency management.</w:t>
      </w:r>
      <w:r>
        <w:rPr>
          <w:rFonts w:ascii="Calibri" w:hAnsi="Calibri"/>
          <w:b w:val="0"/>
          <w:sz w:val="22"/>
        </w:rPr>
        <w:t xml:space="preserve"> `npm audit --audit-level=high` runs in CI. High and critical findings block deploy until resolved. Dependency upgrades are reviewed on a quarterly cadence at minimum; security patches are applied immediately.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Testing baseline.</w:t>
      </w:r>
      <w:r>
        <w:rPr>
          <w:rFonts w:ascii="Calibri" w:hAnsi="Calibri"/>
          <w:b w:val="0"/>
          <w:sz w:val="22"/>
        </w:rPr>
        <w:t xml:space="preserve"> Every product carries a server test suite (&gt;300 tests for Patet) and an app test suite. Code reaching production must pass `tsc --noEmit` and the full Jest suite. Contract tests on auth, payments, and PII paths are required for any change to those surfaces.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AI governance.</w:t>
      </w:r>
      <w:r>
        <w:rPr>
          <w:rFonts w:ascii="Calibri" w:hAnsi="Calibri"/>
          <w:b w:val="0"/>
          <w:sz w:val="22"/>
        </w:rPr>
        <w:t xml:space="preserve"> Every AI-backed feature follows the three-layer Glyphe architecture (shared personality / per-app domain / per-user personalization) and the NIST AI Risk Management Framework documented in `Patet/docs/NIST-AI-GOVERNANCE.md`. Crisis-safety language and 211/988 escalation rules are invariant across all persona overlays and cannot be stripped by a persona switch.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Deployment.</w:t>
      </w:r>
      <w:r>
        <w:rPr>
          <w:rFonts w:ascii="Calibri" w:hAnsi="Calibri"/>
          <w:b w:val="0"/>
          <w:sz w:val="22"/>
        </w:rPr>
        <w:t xml:space="preserve"> Cloud Build / Render auto-deploy on push to `main`. Failed deploys roll back to the previous live revision automatically. Manual rollback is `gcloud run services update-traffic --to-revisions=&lt;prior-rev&gt;=100` on Cloud Run or the equivalent Render redeploy.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9. Operational Controls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Application hardening.</w:t>
      </w:r>
      <w:r>
        <w:rPr>
          <w:rFonts w:ascii="Calibri" w:hAnsi="Calibri"/>
          <w:b w:val="0"/>
          <w:sz w:val="22"/>
        </w:rPr>
        <w:t xml:space="preserve"> Every public API runs behind Helmet (security headers), CORS allowlist, body-size limits, input validation, and per-route rate limiting. Cost-Guard middleware enforces per-tier daily and monthly call limits on AI endpoints with bonus-call accounting for paid top-ups and referrals.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Audit logging.</w:t>
      </w:r>
      <w:r>
        <w:rPr>
          <w:rFonts w:ascii="Calibri" w:hAnsi="Calibri"/>
          <w:b w:val="0"/>
          <w:sz w:val="22"/>
        </w:rPr>
        <w:t xml:space="preserve"> Security-relevant events are written to an `audit_event_log` table or equivalent file sink: authentication outcomes, password resets, token revocations, AI guardrail triggers (prompt injection / role override / safety bypass attempts), and admin operations. Logs are retained for at least 90 days.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Backups &amp; disaster recovery.</w:t>
      </w:r>
      <w:r>
        <w:rPr>
          <w:rFonts w:ascii="Calibri" w:hAnsi="Calibri"/>
          <w:b w:val="0"/>
          <w:sz w:val="22"/>
        </w:rPr>
        <w:t xml:space="preserve"> Managed-provider point-in-time recovery covers production databases. The recovery-time objective (RTO) is 24 hours and the recovery-point objective (RPO) is 24 hours for consumer apps in the current single-founder operating posture.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Monitoring.</w:t>
      </w:r>
      <w:r>
        <w:rPr>
          <w:rFonts w:ascii="Calibri" w:hAnsi="Calibri"/>
          <w:b w:val="0"/>
          <w:sz w:val="22"/>
        </w:rPr>
        <w:t xml:space="preserve"> Sentry captures application errors. Render and Cloud Run dashboards surface availability. The Managing Member reviews error dashboards weekly and after every production deploy.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10. Privacy &amp; Regulatory Posture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CCPA / GDPR right to access.</w:t>
      </w:r>
      <w:r>
        <w:rPr>
          <w:rFonts w:ascii="Calibri" w:hAnsi="Calibri"/>
          <w:b w:val="0"/>
          <w:sz w:val="22"/>
        </w:rPr>
        <w:t xml:space="preserve"> Self-serve data export available in every product that holds Confidential or Restricted data (`GET /api/auth/me/export` on Patet; equivalent endpoints to be confirmed on each launching app).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Right to erasure.</w:t>
      </w:r>
      <w:r>
        <w:rPr>
          <w:rFonts w:ascii="Calibri" w:hAnsi="Calibri"/>
          <w:b w:val="0"/>
          <w:sz w:val="22"/>
        </w:rPr>
        <w:t xml:space="preserve"> Account deletion (`DELETE /api/auth/me`) cascades to all per-user tables via foreign-key `ON DELETE CASCADE`. Plaid items are revoked at the Plaid API on account deletion. The data-retention default is "delete on account-close" for Confidential data and "anonymize on account-close" for aggregate analytics.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Children's data.</w:t>
      </w:r>
      <w:r>
        <w:rPr>
          <w:rFonts w:ascii="Calibri" w:hAnsi="Calibri"/>
          <w:b w:val="0"/>
          <w:sz w:val="22"/>
        </w:rPr>
        <w:t xml:space="preserve"> No Plainly Digital product knowingly collects data from users under 13 (COPPA). Patet's published audience is 18-28. Apps with potentially younger users (e.g., future K-12 financial-literacy curriculum licensing) will gate at the school/district account level rather than collect individual children's data.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Financial-advice posture.</w:t>
      </w:r>
      <w:r>
        <w:rPr>
          <w:rFonts w:ascii="Calibri" w:hAnsi="Calibri"/>
          <w:b w:val="0"/>
          <w:sz w:val="22"/>
        </w:rPr>
        <w:t xml:space="preserve"> Plainly Digital products do not provide licensed financial, legal, or medical advice. AI coach output is educational; users in financial crisis are directed to 211.org, federal student-loan hardship options, and other regulated resources. No money-movement features (transfers, sweeps, automated payments) are offered.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11. Training, Awareness &amp; Review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Founder / employee training.</w:t>
      </w:r>
      <w:r>
        <w:rPr>
          <w:rFonts w:ascii="Calibri" w:hAnsi="Calibri"/>
          <w:b w:val="0"/>
          <w:sz w:val="22"/>
        </w:rPr>
        <w:t xml:space="preserve"> The Managing Member completes a refresher each calendar year on (a) phishing recognition, (b) secret-handling, (c) data-classification rules in §3, and (d) the incident-response flow in §7. Future employees and contractors complete the same training during their first 30 days and annually thereafter.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Customer awareness.</w:t>
      </w:r>
      <w:r>
        <w:rPr>
          <w:rFonts w:ascii="Calibri" w:hAnsi="Calibri"/>
          <w:b w:val="0"/>
          <w:sz w:val="22"/>
        </w:rPr>
        <w:t xml:space="preserve"> Customer-facing security guidance is published at `https://plainlydigital.com/security` and within each app's privacy policy. The `.well-known/security.txt` file lists the disclosure channel.</w:t>
      </w:r>
    </w:p>
    <w:p>
      <w:pPr>
        <w:pStyle w:val="ListBullet"/>
        <w:spacing w:after="40"/>
      </w:pPr>
      <w:r>
        <w:rPr>
          <w:rFonts w:ascii="Calibri" w:hAnsi="Calibri"/>
          <w:b/>
          <w:sz w:val="22"/>
        </w:rPr>
        <w:t>Policy review.</w:t>
      </w:r>
      <w:r>
        <w:rPr>
          <w:rFonts w:ascii="Calibri" w:hAnsi="Calibri"/>
          <w:b w:val="0"/>
          <w:sz w:val="22"/>
        </w:rPr>
        <w:t xml:space="preserve"> This document is reviewed at least annually by the Managing Member. Material changes to vendors, regulatory requirements, or product scope trigger an out-of-cycle review within 30 days. The version history is preserved in git; changes are committed with descriptive messages.</w:t>
      </w:r>
    </w:p>
    <w:p/>
    <w:p>
      <w:pPr>
        <w:keepNext/>
        <w:spacing w:before="160" w:after="80"/>
      </w:pPr>
      <w:r>
        <w:rPr>
          <w:rFonts w:ascii="Calibri" w:hAnsi="Calibri"/>
          <w:b/>
          <w:color w:val="1F3A5F"/>
          <w:sz w:val="28"/>
        </w:rPr>
        <w:t>12. Acknowledgement</w:t>
      </w:r>
    </w:p>
    <w:p>
      <w:r>
        <w:rPr>
          <w:rFonts w:ascii="Calibri" w:hAnsi="Calibri"/>
          <w:b w:val="0"/>
          <w:sz w:val="22"/>
        </w:rPr>
        <w:t>By accepting this policy, the Managing Member (and any future employee or contractor with production access) commits to: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Following the controls in §3-§11.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Reporting suspected incidents via the channel in §7 immediately.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Refusing to bypass any control without written risk-acceptance from the Managing Member.</w:t>
      </w:r>
    </w:p>
    <w:p>
      <w:pPr>
        <w:pBdr>
          <w:bottom w:val="single" w:sz="6" w:space="1" w:color="999999"/>
        </w:pBdr>
      </w:pPr>
    </w:p>
    <w:p>
      <w:r>
        <w:rPr>
          <w:rFonts w:ascii="Calibri" w:hAnsi="Calibri"/>
          <w:b/>
          <w:sz w:val="22"/>
        </w:rPr>
        <w:t>Signed:</w:t>
      </w:r>
      <w:r>
        <w:rPr>
          <w:rFonts w:ascii="Calibri" w:hAnsi="Calibri"/>
          <w:b w:val="0"/>
          <w:sz w:val="22"/>
        </w:rPr>
        <w:t xml:space="preserve"> Jonathan Brock, Managing Member, Plainly Digital LLC </w:t>
      </w:r>
      <w:r>
        <w:rPr>
          <w:rFonts w:ascii="Calibri" w:hAnsi="Calibri"/>
          <w:b/>
          <w:sz w:val="22"/>
        </w:rPr>
        <w:t>Date:</w:t>
      </w:r>
      <w:r>
        <w:rPr>
          <w:rFonts w:ascii="Calibri" w:hAnsi="Calibri"/>
          <w:b w:val="0"/>
          <w:sz w:val="22"/>
        </w:rPr>
        <w:t xml:space="preserve"> 2026-05-11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