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proofErr w:type="gramStart"/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</w:t>
      </w:r>
      <w:proofErr w:type="gramEnd"/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8B4EA2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 w:rsidRPr="002F064F">
        <w:rPr>
          <w:sz w:val="22"/>
          <w:szCs w:val="22"/>
          <w:lang w:val="en-NZ"/>
        </w:rPr>
        <w:t>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</w:t>
      </w:r>
      <w:r w:rsidR="002F064F">
        <w:rPr>
          <w:sz w:val="22"/>
          <w:szCs w:val="22"/>
          <w:lang w:val="en-NZ"/>
        </w:rPr>
        <w:t>Always</w:t>
      </w:r>
      <w:r w:rsidR="002F064F">
        <w:rPr>
          <w:sz w:val="22"/>
          <w:szCs w:val="22"/>
          <w:lang w:val="en-NZ"/>
        </w:rPr>
        <w:t xml:space="preserve"> /</w:t>
      </w:r>
      <w:r w:rsidR="002F064F">
        <w:rPr>
          <w:sz w:val="22"/>
          <w:szCs w:val="22"/>
          <w:lang w:val="en-NZ"/>
        </w:rPr>
        <w:t xml:space="preserve"> Usually</w:t>
      </w:r>
      <w:r w:rsidR="002F064F">
        <w:rPr>
          <w:sz w:val="22"/>
          <w:szCs w:val="22"/>
          <w:lang w:val="en-NZ"/>
        </w:rPr>
        <w:t xml:space="preserve"> / </w:t>
      </w:r>
      <w:r w:rsidR="002F064F">
        <w:rPr>
          <w:sz w:val="22"/>
          <w:szCs w:val="22"/>
          <w:lang w:val="en-NZ"/>
        </w:rPr>
        <w:t>Sometimes</w:t>
      </w:r>
      <w:r w:rsidR="002F064F">
        <w:rPr>
          <w:sz w:val="22"/>
          <w:szCs w:val="22"/>
          <w:lang w:val="en-NZ"/>
        </w:rPr>
        <w:t xml:space="preserve">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lastRenderedPageBreak/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  <w:bookmarkStart w:id="1" w:name="_GoBack"/>
        <w:bookmarkEnd w:id="1"/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C:/Users/st2730/Desktop/Research/Autism/MS%20HUDD/Conference%20paper%202/slightly%20agree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CB11E4455CF4D950935E518C0C6A0" ma:contentTypeVersion="11" ma:contentTypeDescription="Create a new document." ma:contentTypeScope="" ma:versionID="d07930a8eab9177b4d0e7162126219f7">
  <xsd:schema xmlns:xsd="http://www.w3.org/2001/XMLSchema" xmlns:xs="http://www.w3.org/2001/XMLSchema" xmlns:p="http://schemas.microsoft.com/office/2006/metadata/properties" xmlns:ns2="8858a50d-39b1-4da9-899a-5d4cabef29ef" xmlns:ns3="271835bb-3b6c-4c72-b8e3-30739b0bc7dd" targetNamespace="http://schemas.microsoft.com/office/2006/metadata/properties" ma:root="true" ma:fieldsID="92849128b402ed6007f4a48f85c02d5e" ns2:_="" ns3:_="">
    <xsd:import namespace="8858a50d-39b1-4da9-899a-5d4cabef29ef"/>
    <xsd:import namespace="271835bb-3b6c-4c72-b8e3-30739b0bc7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8a50d-39b1-4da9-899a-5d4cabef2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360688d-70ba-47ac-ad24-25d6889a9a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35bb-3b6c-4c72-b8e3-30739b0bc7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3749b9e-6c82-4b6c-91eb-2900899adc62}" ma:internalName="TaxCatchAll" ma:showField="CatchAllData" ma:web="271835bb-3b6c-4c72-b8e3-30739b0bc7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1835bb-3b6c-4c72-b8e3-30739b0bc7dd" xsi:nil="true"/>
    <lcf76f155ced4ddcb4097134ff3c332f xmlns="8858a50d-39b1-4da9-899a-5d4cabef29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CD5C17-68A2-4620-8CD3-2B38073227EB}"/>
</file>

<file path=customXml/itemProps2.xml><?xml version="1.0" encoding="utf-8"?>
<ds:datastoreItem xmlns:ds="http://schemas.openxmlformats.org/officeDocument/2006/customXml" ds:itemID="{48FAEFFF-FEF7-47E9-8079-95B8EDC064E8}"/>
</file>

<file path=customXml/itemProps3.xml><?xml version="1.0" encoding="utf-8"?>
<ds:datastoreItem xmlns:ds="http://schemas.openxmlformats.org/officeDocument/2006/customXml" ds:itemID="{B4315B3A-A545-459C-900C-B2123EBC51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USER</cp:lastModifiedBy>
  <cp:revision>3</cp:revision>
  <dcterms:created xsi:type="dcterms:W3CDTF">2018-07-23T06:48:00Z</dcterms:created>
  <dcterms:modified xsi:type="dcterms:W3CDTF">2018-07-23T06:49:00Z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0x0101004AACB11E4455CF4D950935E518C0C6A0</vt:lpwstr>
  </property>
</Properties>
</file>