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AA4B" w14:textId="7B555969" w:rsidR="00416721" w:rsidRPr="009069DA" w:rsidRDefault="00533EDA">
      <w:pPr>
        <w:rPr>
          <w:lang w:val="en-US"/>
        </w:rPr>
      </w:pPr>
      <w:r w:rsidRPr="009069DA">
        <w:rPr>
          <w:lang w:val="en-US"/>
        </w:rPr>
        <w:t xml:space="preserve">Jesper’s </w:t>
      </w:r>
      <w:proofErr w:type="spellStart"/>
      <w:r w:rsidRPr="009069DA">
        <w:rPr>
          <w:lang w:val="en-US"/>
        </w:rPr>
        <w:t>Blurps</w:t>
      </w:r>
      <w:proofErr w:type="spellEnd"/>
    </w:p>
    <w:p w14:paraId="1453FCD2" w14:textId="7516B883" w:rsidR="00533EDA" w:rsidRPr="009069DA" w:rsidRDefault="00533EDA">
      <w:pPr>
        <w:rPr>
          <w:lang w:val="en-US"/>
        </w:rPr>
      </w:pPr>
    </w:p>
    <w:p w14:paraId="03B16A96" w14:textId="2D9BFB65" w:rsidR="00533EDA" w:rsidRDefault="00533EDA" w:rsidP="00533EDA">
      <w:pPr>
        <w:pStyle w:val="Heading1"/>
        <w:rPr>
          <w:lang w:val="en-US"/>
        </w:rPr>
      </w:pPr>
      <w:r>
        <w:rPr>
          <w:lang w:val="en-US"/>
        </w:rPr>
        <w:t xml:space="preserve">Teaching </w:t>
      </w:r>
      <w:r w:rsidR="00BD5041">
        <w:rPr>
          <w:lang w:val="en-US"/>
        </w:rPr>
        <w:t>formats and</w:t>
      </w:r>
      <w:r w:rsidR="00DF23FA">
        <w:rPr>
          <w:lang w:val="en-US"/>
        </w:rPr>
        <w:t xml:space="preserve"> technologies</w:t>
      </w:r>
      <w:r w:rsidRPr="00533EDA">
        <w:rPr>
          <w:lang w:val="en-US"/>
        </w:rPr>
        <w:t xml:space="preserve"> in physics education</w:t>
      </w:r>
    </w:p>
    <w:p w14:paraId="71CBDACE" w14:textId="64B85799" w:rsidR="00BD5041" w:rsidRPr="00191448" w:rsidRDefault="00191448" w:rsidP="00BD5041">
      <w:pPr>
        <w:rPr>
          <w:rFonts w:asciiTheme="minorHAnsi" w:hAnsiTheme="minorHAnsi" w:cstheme="minorHAnsi"/>
          <w:lang w:val="en-US"/>
        </w:rPr>
      </w:pPr>
      <w:r>
        <w:rPr>
          <w:rFonts w:asciiTheme="minorHAnsi" w:hAnsiTheme="minorHAnsi" w:cstheme="minorHAnsi"/>
          <w:lang w:val="en-US"/>
        </w:rPr>
        <w:t xml:space="preserve">Our work includes developing and testing both teaching formats and teaching technologies in physics education. We see a teaching format as a structured way of planning and performing teaching. We work extensively with formats that emphasize student agency and autonomy in the learning process, for instance inquiry-based models and scenario-based models. </w:t>
      </w:r>
      <w:r w:rsidR="0068619B">
        <w:rPr>
          <w:rFonts w:asciiTheme="minorHAnsi" w:hAnsiTheme="minorHAnsi" w:cstheme="minorHAnsi"/>
          <w:lang w:val="en-US"/>
        </w:rPr>
        <w:t xml:space="preserve">We see teaching technologies as practical applications of educational research, which affords knowledge, skills, and strategies for both teacher and student. Technologies include a diverse set of applications, such as the use of pen and paper, of different types of teaching/learning activities, and of computer software. Technology is for us embedded in teaching and serves an identifiable purpose. </w:t>
      </w:r>
    </w:p>
    <w:p w14:paraId="1556AF90" w14:textId="3999D266" w:rsidR="00DF23FA" w:rsidRDefault="00DF23FA" w:rsidP="00DF23FA">
      <w:pPr>
        <w:rPr>
          <w:lang w:val="en-US"/>
        </w:rPr>
      </w:pPr>
    </w:p>
    <w:p w14:paraId="5D29578A" w14:textId="07D481AC" w:rsidR="00DF23FA" w:rsidRPr="00DF23FA" w:rsidRDefault="00DF23FA" w:rsidP="00DF23FA">
      <w:pPr>
        <w:rPr>
          <w:b/>
          <w:bCs/>
          <w:lang w:val="en-US"/>
        </w:rPr>
      </w:pPr>
      <w:r w:rsidRPr="00DF23FA">
        <w:rPr>
          <w:b/>
          <w:bCs/>
          <w:lang w:val="en-US"/>
        </w:rPr>
        <w:t>Example research questions</w:t>
      </w:r>
    </w:p>
    <w:p w14:paraId="7E7F59E1" w14:textId="76A807FE" w:rsidR="00DF23FA" w:rsidRDefault="00DF23FA" w:rsidP="00DF23FA">
      <w:pPr>
        <w:rPr>
          <w:lang w:val="en-US"/>
        </w:rPr>
      </w:pPr>
    </w:p>
    <w:p w14:paraId="274793D6" w14:textId="405D6E02" w:rsidR="00DF23FA" w:rsidRDefault="00DF23FA" w:rsidP="00DF23FA">
      <w:pPr>
        <w:rPr>
          <w:b/>
          <w:bCs/>
          <w:lang w:val="en-US"/>
        </w:rPr>
      </w:pPr>
      <w:r w:rsidRPr="00DF23FA">
        <w:rPr>
          <w:b/>
          <w:bCs/>
          <w:lang w:val="en-US"/>
        </w:rPr>
        <w:t>Examples publications</w:t>
      </w:r>
    </w:p>
    <w:p w14:paraId="5B520F87" w14:textId="515638B3" w:rsidR="003E459F" w:rsidRPr="009E6967" w:rsidRDefault="003E459F" w:rsidP="00DF23FA">
      <w:r>
        <w:t xml:space="preserve">Bruun, J., Andersen, I. V. K., Alavi, K., Harder, S., &amp; Holm-Janas, V. (2022). Marsbasen: Eksempler på alibi for undersøgelser i fysik C i gymnasiet. I T. Hanghøj, M. Misfeldt, J. Bundsgaard, &amp; V. Hetmar (red.), </w:t>
      </w:r>
      <w:r>
        <w:rPr>
          <w:rStyle w:val="Emphasis"/>
        </w:rPr>
        <w:t xml:space="preserve">Håndbog i scenariedidaktik </w:t>
      </w:r>
      <w:r>
        <w:t xml:space="preserve">(1 udg., s. 285-298). Aarhus Universitetsforlag. </w:t>
      </w:r>
    </w:p>
    <w:p w14:paraId="5D29870B" w14:textId="77777777" w:rsidR="003E459F" w:rsidRPr="009069DA" w:rsidRDefault="003E459F" w:rsidP="00DF23FA">
      <w:pPr>
        <w:rPr>
          <w:b/>
          <w:bCs/>
          <w:lang w:val="da-DK"/>
        </w:rPr>
      </w:pPr>
    </w:p>
    <w:p w14:paraId="7062B095" w14:textId="5F8C3608" w:rsidR="00A33B6D" w:rsidRDefault="00A33B6D" w:rsidP="00A33B6D">
      <w:r>
        <w:t xml:space="preserve">Madsen, L. M., Evans, R. H., &amp; Bruun, J. (2020). Undersøgelsesbaseret undervisning: 6F modellen, dens tilblivelse og udvikling i Danmark. </w:t>
      </w:r>
      <w:r>
        <w:rPr>
          <w:rStyle w:val="Emphasis"/>
        </w:rPr>
        <w:t>MONA - Matematik- og Naturfagsdidaktik</w:t>
      </w:r>
      <w:r>
        <w:t xml:space="preserve">, </w:t>
      </w:r>
      <w:r>
        <w:rPr>
          <w:rStyle w:val="Emphasis"/>
        </w:rPr>
        <w:t>1</w:t>
      </w:r>
      <w:r>
        <w:t xml:space="preserve">, 26-45. </w:t>
      </w:r>
      <w:r w:rsidR="00000000">
        <w:fldChar w:fldCharType="begin"/>
      </w:r>
      <w:r w:rsidR="00000000">
        <w:instrText xml:space="preserve"> HYPERLINK "https://tidsskrift.dk/mona/issue/view/8561" </w:instrText>
      </w:r>
      <w:r w:rsidR="00000000">
        <w:fldChar w:fldCharType="separate"/>
      </w:r>
      <w:r>
        <w:rPr>
          <w:rStyle w:val="Hyperlink"/>
        </w:rPr>
        <w:t>https://tidsskrift.dk/mona/issue/view/8561</w:t>
      </w:r>
      <w:r w:rsidR="00000000">
        <w:rPr>
          <w:rStyle w:val="Hyperlink"/>
        </w:rPr>
        <w:fldChar w:fldCharType="end"/>
      </w:r>
    </w:p>
    <w:p w14:paraId="2101BF6D" w14:textId="5B198F5D" w:rsidR="003E459F" w:rsidRDefault="003E459F" w:rsidP="00A33B6D"/>
    <w:p w14:paraId="7E9DC9A9" w14:textId="032BBF7A" w:rsidR="003E459F" w:rsidRDefault="003E459F" w:rsidP="00A33B6D">
      <w:r>
        <w:t xml:space="preserve">Bruun, J., Ray, P. J., &amp; Udby, L. (2019). Network analyses of student engagement with on-line textbook problems. </w:t>
      </w:r>
      <w:r>
        <w:rPr>
          <w:i/>
          <w:iCs/>
        </w:rPr>
        <w:t>arXiv preprint arXiv:1903.11390</w:t>
      </w:r>
      <w:r>
        <w:t>.</w:t>
      </w:r>
    </w:p>
    <w:p w14:paraId="4D35BCC9" w14:textId="09114764" w:rsidR="00533EDA" w:rsidRDefault="00533EDA"/>
    <w:p w14:paraId="76EC7A6D" w14:textId="4A7CFD3D" w:rsidR="00EC53A7" w:rsidRDefault="00EC53A7">
      <w:r>
        <w:t xml:space="preserve">Overgaard, J. H., Bruun, J., May, M., &amp; Udby, L. (2017). Virtual neutron scattering experiments: Training and preparing students for large-scale facility experiments. </w:t>
      </w:r>
      <w:r>
        <w:rPr>
          <w:rStyle w:val="Emphasis"/>
        </w:rPr>
        <w:t>Læring og Medier (LOM)</w:t>
      </w:r>
      <w:r>
        <w:t xml:space="preserve">, </w:t>
      </w:r>
      <w:r>
        <w:rPr>
          <w:rStyle w:val="Emphasis"/>
        </w:rPr>
        <w:t>9</w:t>
      </w:r>
      <w:r>
        <w:t xml:space="preserve">(16), 1-28. </w:t>
      </w:r>
    </w:p>
    <w:p w14:paraId="00F17CF7" w14:textId="77777777" w:rsidR="00EC53A7" w:rsidRDefault="00EC53A7"/>
    <w:p w14:paraId="7411104B" w14:textId="3B89C6A8" w:rsidR="00A33B6D" w:rsidRDefault="00A33B6D" w:rsidP="00A33B6D">
      <w:r>
        <w:t xml:space="preserve">Bruun, J., &amp; Christiansen, F. V. (2016). Kinaesthetic activities in physics instruction: Image schematic justification and design based on didactic situations. </w:t>
      </w:r>
      <w:r>
        <w:rPr>
          <w:rStyle w:val="Emphasis"/>
        </w:rPr>
        <w:t>NorDiNa: Nordic Studies in Science Education</w:t>
      </w:r>
      <w:r>
        <w:t xml:space="preserve">, </w:t>
      </w:r>
      <w:r>
        <w:rPr>
          <w:rStyle w:val="Emphasis"/>
        </w:rPr>
        <w:t>12</w:t>
      </w:r>
      <w:r>
        <w:t>(1), 56-72.</w:t>
      </w:r>
    </w:p>
    <w:p w14:paraId="2F96EBCE" w14:textId="77777777" w:rsidR="00A33B6D" w:rsidRDefault="00A33B6D" w:rsidP="00A33B6D"/>
    <w:p w14:paraId="1BEAC40C" w14:textId="77777777" w:rsidR="00A33B6D" w:rsidRPr="00A33B6D" w:rsidRDefault="00A33B6D"/>
    <w:p w14:paraId="6BF5024E" w14:textId="3166508A" w:rsidR="00533EDA" w:rsidRPr="009069DA" w:rsidRDefault="00533EDA">
      <w:pPr>
        <w:rPr>
          <w:lang w:val="en-US"/>
        </w:rPr>
      </w:pPr>
    </w:p>
    <w:p w14:paraId="3D2C8EAE" w14:textId="77777777" w:rsidR="00533EDA" w:rsidRPr="009069DA" w:rsidRDefault="00533EDA">
      <w:pPr>
        <w:rPr>
          <w:lang w:val="en-US"/>
        </w:rPr>
      </w:pPr>
    </w:p>
    <w:p w14:paraId="47D08DD1" w14:textId="2B1370C3" w:rsidR="00533EDA" w:rsidRDefault="00533EDA" w:rsidP="00533EDA">
      <w:pPr>
        <w:pStyle w:val="Heading1"/>
        <w:rPr>
          <w:lang w:val="en-US"/>
        </w:rPr>
      </w:pPr>
      <w:r>
        <w:rPr>
          <w:lang w:val="en-US"/>
        </w:rPr>
        <w:t>Formative assessment and c</w:t>
      </w:r>
      <w:r w:rsidRPr="00533EDA">
        <w:rPr>
          <w:lang w:val="en-US"/>
        </w:rPr>
        <w:t>ompetencies in physics education</w:t>
      </w:r>
    </w:p>
    <w:p w14:paraId="7F26C1CA" w14:textId="29533654" w:rsidR="009069DA" w:rsidRPr="009069DA" w:rsidRDefault="009069DA" w:rsidP="009069DA">
      <w:pPr>
        <w:rPr>
          <w:rFonts w:asciiTheme="minorHAnsi" w:hAnsiTheme="minorHAnsi" w:cstheme="minorHAnsi"/>
          <w:sz w:val="22"/>
          <w:szCs w:val="22"/>
          <w:lang w:val="en-US"/>
        </w:rPr>
      </w:pPr>
      <w:r w:rsidRPr="009069DA">
        <w:rPr>
          <w:rFonts w:asciiTheme="minorHAnsi" w:hAnsiTheme="minorHAnsi" w:cstheme="minorHAnsi"/>
          <w:sz w:val="22"/>
          <w:szCs w:val="22"/>
          <w:lang w:val="en-US"/>
        </w:rPr>
        <w:t xml:space="preserve">Formative assessment is one of the key strategies for physics teachers to help students develop their competencies in physics. We define competency in physics as the ability and will to </w:t>
      </w:r>
      <w:r w:rsidRPr="009069DA">
        <w:rPr>
          <w:rFonts w:asciiTheme="minorHAnsi" w:hAnsiTheme="minorHAnsi" w:cstheme="minorHAnsi"/>
          <w:sz w:val="22"/>
          <w:szCs w:val="22"/>
        </w:rPr>
        <w:t>to act, alone and with others,</w:t>
      </w:r>
      <w:r w:rsidRPr="009069DA">
        <w:rPr>
          <w:rFonts w:asciiTheme="minorHAnsi" w:hAnsiTheme="minorHAnsi" w:cstheme="minorHAnsi"/>
          <w:sz w:val="22"/>
          <w:szCs w:val="22"/>
          <w:lang w:val="en-US"/>
        </w:rPr>
        <w:t xml:space="preserve"> </w:t>
      </w:r>
      <w:r w:rsidRPr="009069DA">
        <w:rPr>
          <w:rFonts w:asciiTheme="minorHAnsi" w:hAnsiTheme="minorHAnsi" w:cstheme="minorHAnsi"/>
          <w:sz w:val="22"/>
          <w:szCs w:val="22"/>
        </w:rPr>
        <w:t>using curiosity, knowledge, skills, strategies, and</w:t>
      </w:r>
      <w:r w:rsidRPr="009069DA">
        <w:rPr>
          <w:rFonts w:asciiTheme="minorHAnsi" w:hAnsiTheme="minorHAnsi" w:cstheme="minorHAnsi"/>
          <w:sz w:val="22"/>
          <w:szCs w:val="22"/>
          <w:lang w:val="en-US"/>
        </w:rPr>
        <w:t xml:space="preserve"> </w:t>
      </w:r>
      <w:r w:rsidRPr="009069DA">
        <w:rPr>
          <w:rFonts w:asciiTheme="minorHAnsi" w:hAnsiTheme="minorHAnsi" w:cstheme="minorHAnsi"/>
          <w:sz w:val="22"/>
          <w:szCs w:val="22"/>
        </w:rPr>
        <w:t xml:space="preserve">meta-knowledge as these apply to physics, </w:t>
      </w:r>
      <w:r w:rsidRPr="009069DA">
        <w:rPr>
          <w:rFonts w:asciiTheme="minorHAnsi" w:hAnsiTheme="minorHAnsi" w:cstheme="minorHAnsi"/>
          <w:sz w:val="22"/>
          <w:szCs w:val="22"/>
        </w:rPr>
        <w:t>to</w:t>
      </w:r>
      <w:r w:rsidRPr="009069DA">
        <w:rPr>
          <w:rFonts w:asciiTheme="minorHAnsi" w:hAnsiTheme="minorHAnsi" w:cstheme="minorHAnsi"/>
          <w:sz w:val="22"/>
          <w:szCs w:val="22"/>
        </w:rPr>
        <w:t xml:space="preserve"> negotiate meaning, to develop a distinct identity</w:t>
      </w:r>
      <w:r w:rsidRPr="009069DA">
        <w:rPr>
          <w:rFonts w:asciiTheme="minorHAnsi" w:hAnsiTheme="minorHAnsi" w:cstheme="minorHAnsi"/>
          <w:sz w:val="22"/>
          <w:szCs w:val="22"/>
          <w:lang w:val="en-US"/>
        </w:rPr>
        <w:t xml:space="preserve"> </w:t>
      </w:r>
      <w:r w:rsidRPr="009069DA">
        <w:rPr>
          <w:rFonts w:asciiTheme="minorHAnsi" w:hAnsiTheme="minorHAnsi" w:cstheme="minorHAnsi"/>
          <w:sz w:val="22"/>
          <w:szCs w:val="22"/>
        </w:rPr>
        <w:t xml:space="preserve">within the field of physics, and to participate in relevant </w:t>
      </w:r>
      <w:r w:rsidRPr="009069DA">
        <w:rPr>
          <w:rFonts w:asciiTheme="minorHAnsi" w:hAnsiTheme="minorHAnsi" w:cstheme="minorHAnsi"/>
          <w:sz w:val="22"/>
          <w:szCs w:val="22"/>
        </w:rPr>
        <w:t>decision-making</w:t>
      </w:r>
      <w:r w:rsidRPr="009069DA">
        <w:rPr>
          <w:rFonts w:asciiTheme="minorHAnsi" w:hAnsiTheme="minorHAnsi" w:cstheme="minorHAnsi"/>
          <w:sz w:val="22"/>
          <w:szCs w:val="22"/>
        </w:rPr>
        <w:t xml:space="preserve"> situation</w:t>
      </w:r>
      <w:r w:rsidRPr="009069DA">
        <w:rPr>
          <w:rFonts w:asciiTheme="minorHAnsi" w:hAnsiTheme="minorHAnsi" w:cstheme="minorHAnsi"/>
          <w:sz w:val="22"/>
          <w:szCs w:val="22"/>
          <w:lang w:val="en-US"/>
        </w:rPr>
        <w:t>s</w:t>
      </w:r>
      <w:r w:rsidRPr="009069DA">
        <w:rPr>
          <w:rFonts w:asciiTheme="minorHAnsi" w:hAnsiTheme="minorHAnsi" w:cstheme="minorHAnsi"/>
          <w:sz w:val="22"/>
          <w:szCs w:val="22"/>
        </w:rPr>
        <w:t>.</w:t>
      </w:r>
      <w:r w:rsidRPr="009069DA">
        <w:rPr>
          <w:rFonts w:asciiTheme="minorHAnsi" w:hAnsiTheme="minorHAnsi" w:cstheme="minorHAnsi"/>
          <w:sz w:val="22"/>
          <w:szCs w:val="22"/>
          <w:lang w:val="en-US"/>
        </w:rPr>
        <w:t xml:space="preserve"> </w:t>
      </w:r>
      <w:r w:rsidR="00206420">
        <w:rPr>
          <w:rFonts w:asciiTheme="minorHAnsi" w:hAnsiTheme="minorHAnsi" w:cstheme="minorHAnsi"/>
          <w:sz w:val="22"/>
          <w:szCs w:val="22"/>
          <w:lang w:val="en-US"/>
        </w:rPr>
        <w:t xml:space="preserve">In formative assessment, teachers and students work together to identify students’ current levels of competencies and to design goals and tasks that will help students develop their competencies in physics even further. We work in different </w:t>
      </w:r>
      <w:r w:rsidR="00206420">
        <w:rPr>
          <w:rFonts w:asciiTheme="minorHAnsi" w:hAnsiTheme="minorHAnsi" w:cstheme="minorHAnsi"/>
          <w:sz w:val="22"/>
          <w:szCs w:val="22"/>
          <w:lang w:val="en-US"/>
        </w:rPr>
        <w:lastRenderedPageBreak/>
        <w:t xml:space="preserve">modalities, including, written, oral, </w:t>
      </w:r>
      <w:proofErr w:type="spellStart"/>
      <w:r w:rsidR="00206420">
        <w:rPr>
          <w:rFonts w:asciiTheme="minorHAnsi" w:hAnsiTheme="minorHAnsi" w:cstheme="minorHAnsi"/>
          <w:sz w:val="22"/>
          <w:szCs w:val="22"/>
          <w:lang w:val="en-US"/>
        </w:rPr>
        <w:t>kinaesthetic</w:t>
      </w:r>
      <w:proofErr w:type="spellEnd"/>
      <w:r w:rsidR="00206420">
        <w:rPr>
          <w:rFonts w:asciiTheme="minorHAnsi" w:hAnsiTheme="minorHAnsi" w:cstheme="minorHAnsi"/>
          <w:sz w:val="22"/>
          <w:szCs w:val="22"/>
          <w:lang w:val="en-US"/>
        </w:rPr>
        <w:t xml:space="preserve">, computer-based, teacher-student, and peer assessment. Formative assessment in our view is tied to motivation, particularly, self-determination theory. </w:t>
      </w:r>
    </w:p>
    <w:p w14:paraId="23D9A5C2" w14:textId="6076ED79" w:rsidR="00533EDA" w:rsidRPr="009069DA" w:rsidRDefault="00533EDA"/>
    <w:p w14:paraId="202F33B3" w14:textId="77777777" w:rsidR="00533EDA" w:rsidRPr="00533EDA" w:rsidRDefault="00533EDA">
      <w:pPr>
        <w:rPr>
          <w:lang w:val="en-US"/>
        </w:rPr>
      </w:pPr>
    </w:p>
    <w:p w14:paraId="20D27E04" w14:textId="77777777" w:rsidR="00DF23FA" w:rsidRPr="00DF23FA" w:rsidRDefault="00DF23FA" w:rsidP="00DF23FA">
      <w:pPr>
        <w:rPr>
          <w:b/>
          <w:bCs/>
          <w:lang w:val="en-US"/>
        </w:rPr>
      </w:pPr>
      <w:r w:rsidRPr="00DF23FA">
        <w:rPr>
          <w:b/>
          <w:bCs/>
          <w:lang w:val="en-US"/>
        </w:rPr>
        <w:t>Example research questions</w:t>
      </w:r>
    </w:p>
    <w:p w14:paraId="4639145A" w14:textId="77777777" w:rsidR="00DF23FA" w:rsidRDefault="00DF23FA" w:rsidP="00DF23FA">
      <w:pPr>
        <w:rPr>
          <w:lang w:val="en-US"/>
        </w:rPr>
      </w:pPr>
    </w:p>
    <w:p w14:paraId="16CEA3AE" w14:textId="02E60608" w:rsidR="00DF23FA" w:rsidRDefault="00DF23FA" w:rsidP="00DF23FA">
      <w:pPr>
        <w:rPr>
          <w:b/>
          <w:bCs/>
          <w:lang w:val="en-US"/>
        </w:rPr>
      </w:pPr>
      <w:r w:rsidRPr="00DF23FA">
        <w:rPr>
          <w:b/>
          <w:bCs/>
          <w:lang w:val="en-US"/>
        </w:rPr>
        <w:t>Examples publications</w:t>
      </w:r>
    </w:p>
    <w:p w14:paraId="567597A9" w14:textId="77777777" w:rsidR="00EC53A7" w:rsidRDefault="00EC53A7" w:rsidP="00EC53A7">
      <w:r>
        <w:t xml:space="preserve">Bruun, J., &amp; Evans, R. H. (2020). Network analysis of survey data to identify non-homogeneous teacher self-efficacy development in using formative assessment strategies. </w:t>
      </w:r>
      <w:r>
        <w:rPr>
          <w:rStyle w:val="Emphasis"/>
        </w:rPr>
        <w:t>Education Sciences</w:t>
      </w:r>
      <w:r>
        <w:t xml:space="preserve">, </w:t>
      </w:r>
      <w:r>
        <w:rPr>
          <w:rStyle w:val="Emphasis"/>
        </w:rPr>
        <w:t>10</w:t>
      </w:r>
      <w:r>
        <w:t xml:space="preserve">(3), 1-21. </w:t>
      </w:r>
      <w:hyperlink r:id="rId4" w:history="1">
        <w:r>
          <w:rPr>
            <w:rStyle w:val="Hyperlink"/>
          </w:rPr>
          <w:t>https://doi.org/10.3390/educsci10030054</w:t>
        </w:r>
      </w:hyperlink>
    </w:p>
    <w:p w14:paraId="4D82015A" w14:textId="77777777" w:rsidR="00EC53A7" w:rsidRPr="00DF23FA" w:rsidRDefault="00EC53A7" w:rsidP="00DF23FA">
      <w:pPr>
        <w:rPr>
          <w:b/>
          <w:bCs/>
          <w:lang w:val="en-US"/>
        </w:rPr>
      </w:pPr>
    </w:p>
    <w:p w14:paraId="4D4DB9C5" w14:textId="39DC8725" w:rsidR="00533EDA" w:rsidRPr="00533EDA" w:rsidRDefault="00533EDA">
      <w:pPr>
        <w:rPr>
          <w:lang w:val="en-US"/>
        </w:rPr>
      </w:pPr>
    </w:p>
    <w:p w14:paraId="07E7BEDB" w14:textId="77777777" w:rsidR="00EC53A7" w:rsidRDefault="00EC53A7" w:rsidP="00EC53A7">
      <w:r>
        <w:t xml:space="preserve">Ellegaard, M., Damsgaard, L., Bruun, J., &amp; Johannsen, B. F. (2018). Patterns in the form of formative feedback and student response. </w:t>
      </w:r>
      <w:r>
        <w:rPr>
          <w:rStyle w:val="Emphasis"/>
        </w:rPr>
        <w:t>Assessment and Evaluation in Higher Education</w:t>
      </w:r>
      <w:r>
        <w:t xml:space="preserve">, </w:t>
      </w:r>
      <w:r>
        <w:rPr>
          <w:rStyle w:val="Emphasis"/>
        </w:rPr>
        <w:t>43</w:t>
      </w:r>
      <w:r>
        <w:t xml:space="preserve">(5), 727-744. </w:t>
      </w:r>
      <w:hyperlink r:id="rId5" w:history="1">
        <w:r>
          <w:rPr>
            <w:rStyle w:val="Hyperlink"/>
          </w:rPr>
          <w:t>https://doi.org/10.1080/02602938.2017.1403564</w:t>
        </w:r>
      </w:hyperlink>
    </w:p>
    <w:p w14:paraId="5C396258" w14:textId="6091911A" w:rsidR="00533EDA" w:rsidRDefault="00533EDA">
      <w:pPr>
        <w:rPr>
          <w:lang w:val="en-US"/>
        </w:rPr>
      </w:pPr>
    </w:p>
    <w:p w14:paraId="596B4294" w14:textId="77777777" w:rsidR="00EC53A7" w:rsidRDefault="00EC53A7" w:rsidP="00EC53A7">
      <w:r>
        <w:t xml:space="preserve">Dolin, J, Bruun, J, Nielsen, SS, Jensen, SB &amp; Nieminen, P 2018, </w:t>
      </w:r>
      <w:r>
        <w:rPr>
          <w:rStyle w:val="harvardtitle"/>
        </w:rPr>
        <w:t>The Structured Assessment Dialogue</w:t>
      </w:r>
      <w:r>
        <w:t xml:space="preserve">. i J Dolin &amp; R Evans (red), </w:t>
      </w:r>
      <w:r>
        <w:rPr>
          <w:rStyle w:val="Emphasis"/>
        </w:rPr>
        <w:t>Transforming Assessment: Through an interplay between practice, research and policy.</w:t>
      </w:r>
      <w:r>
        <w:t xml:space="preserve"> 1 udg, bind 4, Springer, Switzerland, Contributions from Science Education Research, bind 4, s. 109-140. </w:t>
      </w:r>
      <w:hyperlink r:id="rId6" w:history="1">
        <w:r>
          <w:rPr>
            <w:rStyle w:val="Hyperlink"/>
          </w:rPr>
          <w:t>https://doi.org/10.1007/978-3-319-63248-3_5</w:t>
        </w:r>
      </w:hyperlink>
    </w:p>
    <w:p w14:paraId="4B787F77" w14:textId="77777777" w:rsidR="00EC53A7" w:rsidRDefault="00EC53A7">
      <w:pPr>
        <w:rPr>
          <w:lang w:val="en-US"/>
        </w:rPr>
      </w:pPr>
    </w:p>
    <w:p w14:paraId="0953C1D3" w14:textId="490FCC4C" w:rsidR="00533EDA" w:rsidRDefault="00DF23FA" w:rsidP="00533EDA">
      <w:pPr>
        <w:pStyle w:val="Heading1"/>
        <w:rPr>
          <w:lang w:val="en-US"/>
        </w:rPr>
      </w:pPr>
      <w:r>
        <w:rPr>
          <w:lang w:val="en-US"/>
        </w:rPr>
        <w:t>Advanced</w:t>
      </w:r>
      <w:r w:rsidR="00533EDA">
        <w:rPr>
          <w:lang w:val="en-US"/>
        </w:rPr>
        <w:t xml:space="preserve"> </w:t>
      </w:r>
      <w:r>
        <w:rPr>
          <w:lang w:val="en-US"/>
        </w:rPr>
        <w:t>analytical</w:t>
      </w:r>
      <w:r w:rsidR="00533EDA">
        <w:rPr>
          <w:lang w:val="en-US"/>
        </w:rPr>
        <w:t xml:space="preserve"> tool</w:t>
      </w:r>
      <w:r>
        <w:rPr>
          <w:lang w:val="en-US"/>
        </w:rPr>
        <w:t>s</w:t>
      </w:r>
      <w:r w:rsidR="00533EDA">
        <w:rPr>
          <w:lang w:val="en-US"/>
        </w:rPr>
        <w:t xml:space="preserve"> </w:t>
      </w:r>
      <w:r>
        <w:rPr>
          <w:lang w:val="en-US"/>
        </w:rPr>
        <w:t>for mixed methods research</w:t>
      </w:r>
    </w:p>
    <w:p w14:paraId="17E97020" w14:textId="2365EE2D" w:rsidR="00DF23FA" w:rsidRPr="00DF23FA" w:rsidRDefault="00DF23FA" w:rsidP="00DF23FA">
      <w:pPr>
        <w:rPr>
          <w:lang w:val="en-US"/>
        </w:rPr>
      </w:pPr>
      <w:r>
        <w:rPr>
          <w:lang w:val="en-US"/>
        </w:rPr>
        <w:t xml:space="preserve">The fields of physics and computer science continuously develop sophisticated tools for collecting and analyzing data quantitatively. DSE’s PER group aims at combining these tools with strong qualitative traditions in educational research to produce profoundly new knowledge about educational systems. A key direction is to </w:t>
      </w:r>
      <w:r w:rsidR="00FD376D">
        <w:rPr>
          <w:lang w:val="en-US"/>
        </w:rPr>
        <w:t xml:space="preserve">investigate network analysis as a methodological tool for uncovering subtle but important patterns in data; for instance, student group formation patterns, navigation patterns in web-based teaching materials, or text-analysis with linguistic networks. </w:t>
      </w:r>
      <w:r w:rsidR="00FD6C96">
        <w:rPr>
          <w:lang w:val="en-US"/>
        </w:rPr>
        <w:t xml:space="preserve">Our current research also investigates how to enhance analyses of classroom video, classroom audio, and student generated products from teaching using, for example, machine learning techniques. </w:t>
      </w:r>
      <w:r w:rsidR="00BD5041">
        <w:rPr>
          <w:lang w:val="en-US"/>
        </w:rPr>
        <w:t xml:space="preserve">An important part of our strategies for analyses is to intertwine qualitative and quantitative analyses; qualitative analyses provide us with the means to interpret quantitative patterns and vice versa. </w:t>
      </w:r>
    </w:p>
    <w:p w14:paraId="16DF9FD6" w14:textId="1069FBAB" w:rsidR="00533EDA" w:rsidRDefault="00533EDA">
      <w:pPr>
        <w:rPr>
          <w:lang w:val="en-US"/>
        </w:rPr>
      </w:pPr>
    </w:p>
    <w:p w14:paraId="0E3A8104" w14:textId="77777777" w:rsidR="00DF23FA" w:rsidRPr="00DF23FA" w:rsidRDefault="00DF23FA" w:rsidP="00DF23FA">
      <w:pPr>
        <w:rPr>
          <w:b/>
          <w:bCs/>
          <w:lang w:val="en-US"/>
        </w:rPr>
      </w:pPr>
      <w:r w:rsidRPr="00DF23FA">
        <w:rPr>
          <w:b/>
          <w:bCs/>
          <w:lang w:val="en-US"/>
        </w:rPr>
        <w:t>Example research questions</w:t>
      </w:r>
    </w:p>
    <w:p w14:paraId="75743A8F" w14:textId="77777777" w:rsidR="00DF23FA" w:rsidRDefault="00DF23FA" w:rsidP="00DF23FA">
      <w:pPr>
        <w:rPr>
          <w:lang w:val="en-US"/>
        </w:rPr>
      </w:pPr>
    </w:p>
    <w:p w14:paraId="3626C5CF" w14:textId="21445498" w:rsidR="00DF23FA" w:rsidRPr="00EC53A7" w:rsidRDefault="00DF23FA" w:rsidP="00DF23FA">
      <w:pPr>
        <w:rPr>
          <w:b/>
          <w:bCs/>
          <w:lang w:val="en-US"/>
        </w:rPr>
      </w:pPr>
      <w:r w:rsidRPr="00DF23FA">
        <w:rPr>
          <w:b/>
          <w:bCs/>
          <w:lang w:val="en-US"/>
        </w:rPr>
        <w:t>Examples publications</w:t>
      </w:r>
    </w:p>
    <w:p w14:paraId="5911DC83" w14:textId="1D457991" w:rsidR="00A33B6D" w:rsidRDefault="00A33B6D" w:rsidP="00A33B6D">
      <w:r>
        <w:t xml:space="preserve">Bruun, J., Andersen, I. V. K., &amp; Udby, L. (2021). Network Analysis of changes to an integrated science course curriculum over time. I O. Levrini, G. Tasquier, T. Amin, L. Branchetti, &amp; M. Levrin (red.), </w:t>
      </w:r>
      <w:r>
        <w:rPr>
          <w:rStyle w:val="Emphasis"/>
        </w:rPr>
        <w:t xml:space="preserve">Engaging with Contemporary Challenges through Science Education Research: Selected papers from the ESERA 2019 Conference </w:t>
      </w:r>
      <w:r>
        <w:t xml:space="preserve">(1 udg., s. 91-104). Springer. Contributions from Science Education Research Bind 9 </w:t>
      </w:r>
      <w:hyperlink r:id="rId7" w:history="1">
        <w:r>
          <w:rPr>
            <w:rStyle w:val="Hyperlink"/>
          </w:rPr>
          <w:t>https://doi.org/10.1007/978-3-030-74490-8_8</w:t>
        </w:r>
      </w:hyperlink>
    </w:p>
    <w:p w14:paraId="7E25FAD4" w14:textId="77777777" w:rsidR="00EC53A7" w:rsidRDefault="00EC53A7" w:rsidP="00A33B6D"/>
    <w:p w14:paraId="4DD6E43D" w14:textId="78480648" w:rsidR="00A33B6D" w:rsidRDefault="00A33B6D" w:rsidP="00A33B6D">
      <w:r>
        <w:t xml:space="preserve">Bruun, J., &amp; Andersen, I. V. K. (2017). Network maps of student work with physics, other sciences, and math in an integrated science course. </w:t>
      </w:r>
      <w:r>
        <w:rPr>
          <w:rStyle w:val="Emphasis"/>
        </w:rPr>
        <w:t>arXiv.org: Physics Education</w:t>
      </w:r>
      <w:r>
        <w:t xml:space="preserve">, 1-4. [1708.01389 ]. </w:t>
      </w:r>
      <w:hyperlink r:id="rId8" w:history="1">
        <w:r>
          <w:rPr>
            <w:rStyle w:val="Hyperlink"/>
          </w:rPr>
          <w:t>https://arxiv.org/pdf/1708.01389</w:t>
        </w:r>
      </w:hyperlink>
    </w:p>
    <w:p w14:paraId="0D557058" w14:textId="47FEE448" w:rsidR="00A33B6D" w:rsidRDefault="00A33B6D" w:rsidP="00A33B6D"/>
    <w:p w14:paraId="5C526328" w14:textId="77777777" w:rsidR="00A33B6D" w:rsidRDefault="00A33B6D" w:rsidP="00A33B6D">
      <w:r>
        <w:t xml:space="preserve">Bruun, J. (2016). Networks as integrated in research methodologies in PER. I D. Jones, L. Ding, &amp; A. Traxler (red.), </w:t>
      </w:r>
      <w:r>
        <w:rPr>
          <w:rStyle w:val="Emphasis"/>
        </w:rPr>
        <w:t xml:space="preserve">2016 PERC Proceedings </w:t>
      </w:r>
      <w:r>
        <w:t xml:space="preserve">(s. 11-17). [2] American Association of Physics Teachers. PERC Proceedings </w:t>
      </w:r>
      <w:hyperlink r:id="rId9" w:history="1">
        <w:r>
          <w:rPr>
            <w:rStyle w:val="Hyperlink"/>
          </w:rPr>
          <w:t>https://doi.org/10.1119/perc.2016.plenary.002</w:t>
        </w:r>
      </w:hyperlink>
    </w:p>
    <w:p w14:paraId="18887C1E" w14:textId="12148ED4" w:rsidR="00A33B6D" w:rsidRDefault="00A33B6D" w:rsidP="00A33B6D"/>
    <w:p w14:paraId="0590DB93" w14:textId="77777777" w:rsidR="00EC53A7" w:rsidRDefault="00EC53A7" w:rsidP="00EC53A7">
      <w:r>
        <w:t xml:space="preserve">Bruun, J., &amp; Bearden, I. (2014). Time Development in the Early History of Social Networks: Link Stabilization, Group Dynamics, and Segregation. </w:t>
      </w:r>
      <w:r>
        <w:rPr>
          <w:rStyle w:val="Emphasis"/>
        </w:rPr>
        <w:t>P L o S One</w:t>
      </w:r>
      <w:r>
        <w:t xml:space="preserve">, </w:t>
      </w:r>
      <w:r>
        <w:rPr>
          <w:rStyle w:val="Emphasis"/>
        </w:rPr>
        <w:t>9</w:t>
      </w:r>
      <w:r>
        <w:t xml:space="preserve">(11), [e112775]. </w:t>
      </w:r>
      <w:hyperlink r:id="rId10" w:history="1">
        <w:r>
          <w:rPr>
            <w:rStyle w:val="Hyperlink"/>
          </w:rPr>
          <w:t>https://doi.org/10.1371/journal.pone.0112775</w:t>
        </w:r>
      </w:hyperlink>
    </w:p>
    <w:p w14:paraId="39B81F93" w14:textId="77777777" w:rsidR="00EC53A7" w:rsidRDefault="00EC53A7" w:rsidP="00A33B6D"/>
    <w:p w14:paraId="5402362B" w14:textId="77777777" w:rsidR="00A33B6D" w:rsidRPr="00672112" w:rsidRDefault="00A33B6D" w:rsidP="00DF23FA">
      <w:pPr>
        <w:rPr>
          <w:b/>
          <w:bCs/>
        </w:rPr>
      </w:pPr>
    </w:p>
    <w:p w14:paraId="4CE87E1A" w14:textId="77777777" w:rsidR="00DF23FA" w:rsidRPr="00533EDA" w:rsidRDefault="00DF23FA">
      <w:pPr>
        <w:rPr>
          <w:lang w:val="en-US"/>
        </w:rPr>
      </w:pPr>
    </w:p>
    <w:sectPr w:rsidR="00DF23FA" w:rsidRPr="00533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DA"/>
    <w:rsid w:val="00191448"/>
    <w:rsid w:val="00206420"/>
    <w:rsid w:val="003E459F"/>
    <w:rsid w:val="00416721"/>
    <w:rsid w:val="00533EDA"/>
    <w:rsid w:val="00593D20"/>
    <w:rsid w:val="00672112"/>
    <w:rsid w:val="0068619B"/>
    <w:rsid w:val="009069DA"/>
    <w:rsid w:val="009E6967"/>
    <w:rsid w:val="00A33B6D"/>
    <w:rsid w:val="00B2663C"/>
    <w:rsid w:val="00BD5041"/>
    <w:rsid w:val="00DF23FA"/>
    <w:rsid w:val="00EC53A7"/>
    <w:rsid w:val="00FD376D"/>
    <w:rsid w:val="00FD6C9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6154C12"/>
  <w15:chartTrackingRefBased/>
  <w15:docId w15:val="{8CC3859A-E58C-4949-A2D3-5E461EC0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1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33ED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D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72112"/>
    <w:rPr>
      <w:i/>
      <w:iCs/>
    </w:rPr>
  </w:style>
  <w:style w:type="character" w:styleId="Hyperlink">
    <w:name w:val="Hyperlink"/>
    <w:basedOn w:val="DefaultParagraphFont"/>
    <w:uiPriority w:val="99"/>
    <w:semiHidden/>
    <w:unhideWhenUsed/>
    <w:rsid w:val="00672112"/>
    <w:rPr>
      <w:color w:val="0000FF"/>
      <w:u w:val="single"/>
    </w:rPr>
  </w:style>
  <w:style w:type="character" w:customStyle="1" w:styleId="harvardtitle">
    <w:name w:val="harvard_title"/>
    <w:basedOn w:val="DefaultParagraphFont"/>
    <w:rsid w:val="00EC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106">
      <w:bodyDiv w:val="1"/>
      <w:marLeft w:val="0"/>
      <w:marRight w:val="0"/>
      <w:marTop w:val="0"/>
      <w:marBottom w:val="0"/>
      <w:divBdr>
        <w:top w:val="none" w:sz="0" w:space="0" w:color="auto"/>
        <w:left w:val="none" w:sz="0" w:space="0" w:color="auto"/>
        <w:bottom w:val="none" w:sz="0" w:space="0" w:color="auto"/>
        <w:right w:val="none" w:sz="0" w:space="0" w:color="auto"/>
      </w:divBdr>
      <w:divsChild>
        <w:div w:id="472143318">
          <w:marLeft w:val="0"/>
          <w:marRight w:val="0"/>
          <w:marTop w:val="0"/>
          <w:marBottom w:val="0"/>
          <w:divBdr>
            <w:top w:val="none" w:sz="0" w:space="0" w:color="auto"/>
            <w:left w:val="none" w:sz="0" w:space="0" w:color="auto"/>
            <w:bottom w:val="none" w:sz="0" w:space="0" w:color="auto"/>
            <w:right w:val="none" w:sz="0" w:space="0" w:color="auto"/>
          </w:divBdr>
        </w:div>
      </w:divsChild>
    </w:div>
    <w:div w:id="393940468">
      <w:bodyDiv w:val="1"/>
      <w:marLeft w:val="0"/>
      <w:marRight w:val="0"/>
      <w:marTop w:val="0"/>
      <w:marBottom w:val="0"/>
      <w:divBdr>
        <w:top w:val="none" w:sz="0" w:space="0" w:color="auto"/>
        <w:left w:val="none" w:sz="0" w:space="0" w:color="auto"/>
        <w:bottom w:val="none" w:sz="0" w:space="0" w:color="auto"/>
        <w:right w:val="none" w:sz="0" w:space="0" w:color="auto"/>
      </w:divBdr>
    </w:div>
    <w:div w:id="471674611">
      <w:bodyDiv w:val="1"/>
      <w:marLeft w:val="0"/>
      <w:marRight w:val="0"/>
      <w:marTop w:val="0"/>
      <w:marBottom w:val="0"/>
      <w:divBdr>
        <w:top w:val="none" w:sz="0" w:space="0" w:color="auto"/>
        <w:left w:val="none" w:sz="0" w:space="0" w:color="auto"/>
        <w:bottom w:val="none" w:sz="0" w:space="0" w:color="auto"/>
        <w:right w:val="none" w:sz="0" w:space="0" w:color="auto"/>
      </w:divBdr>
    </w:div>
    <w:div w:id="636840604">
      <w:bodyDiv w:val="1"/>
      <w:marLeft w:val="0"/>
      <w:marRight w:val="0"/>
      <w:marTop w:val="0"/>
      <w:marBottom w:val="0"/>
      <w:divBdr>
        <w:top w:val="none" w:sz="0" w:space="0" w:color="auto"/>
        <w:left w:val="none" w:sz="0" w:space="0" w:color="auto"/>
        <w:bottom w:val="none" w:sz="0" w:space="0" w:color="auto"/>
        <w:right w:val="none" w:sz="0" w:space="0" w:color="auto"/>
      </w:divBdr>
      <w:divsChild>
        <w:div w:id="1038628382">
          <w:marLeft w:val="0"/>
          <w:marRight w:val="0"/>
          <w:marTop w:val="0"/>
          <w:marBottom w:val="0"/>
          <w:divBdr>
            <w:top w:val="none" w:sz="0" w:space="0" w:color="auto"/>
            <w:left w:val="none" w:sz="0" w:space="0" w:color="auto"/>
            <w:bottom w:val="none" w:sz="0" w:space="0" w:color="auto"/>
            <w:right w:val="none" w:sz="0" w:space="0" w:color="auto"/>
          </w:divBdr>
        </w:div>
      </w:divsChild>
    </w:div>
    <w:div w:id="672952220">
      <w:bodyDiv w:val="1"/>
      <w:marLeft w:val="0"/>
      <w:marRight w:val="0"/>
      <w:marTop w:val="0"/>
      <w:marBottom w:val="0"/>
      <w:divBdr>
        <w:top w:val="none" w:sz="0" w:space="0" w:color="auto"/>
        <w:left w:val="none" w:sz="0" w:space="0" w:color="auto"/>
        <w:bottom w:val="none" w:sz="0" w:space="0" w:color="auto"/>
        <w:right w:val="none" w:sz="0" w:space="0" w:color="auto"/>
      </w:divBdr>
      <w:divsChild>
        <w:div w:id="2133353460">
          <w:marLeft w:val="0"/>
          <w:marRight w:val="0"/>
          <w:marTop w:val="0"/>
          <w:marBottom w:val="0"/>
          <w:divBdr>
            <w:top w:val="none" w:sz="0" w:space="0" w:color="auto"/>
            <w:left w:val="none" w:sz="0" w:space="0" w:color="auto"/>
            <w:bottom w:val="none" w:sz="0" w:space="0" w:color="auto"/>
            <w:right w:val="none" w:sz="0" w:space="0" w:color="auto"/>
          </w:divBdr>
        </w:div>
      </w:divsChild>
    </w:div>
    <w:div w:id="781343592">
      <w:bodyDiv w:val="1"/>
      <w:marLeft w:val="0"/>
      <w:marRight w:val="0"/>
      <w:marTop w:val="0"/>
      <w:marBottom w:val="0"/>
      <w:divBdr>
        <w:top w:val="none" w:sz="0" w:space="0" w:color="auto"/>
        <w:left w:val="none" w:sz="0" w:space="0" w:color="auto"/>
        <w:bottom w:val="none" w:sz="0" w:space="0" w:color="auto"/>
        <w:right w:val="none" w:sz="0" w:space="0" w:color="auto"/>
      </w:divBdr>
      <w:divsChild>
        <w:div w:id="1843667428">
          <w:marLeft w:val="0"/>
          <w:marRight w:val="0"/>
          <w:marTop w:val="0"/>
          <w:marBottom w:val="0"/>
          <w:divBdr>
            <w:top w:val="none" w:sz="0" w:space="0" w:color="auto"/>
            <w:left w:val="none" w:sz="0" w:space="0" w:color="auto"/>
            <w:bottom w:val="none" w:sz="0" w:space="0" w:color="auto"/>
            <w:right w:val="none" w:sz="0" w:space="0" w:color="auto"/>
          </w:divBdr>
        </w:div>
      </w:divsChild>
    </w:div>
    <w:div w:id="876504382">
      <w:bodyDiv w:val="1"/>
      <w:marLeft w:val="0"/>
      <w:marRight w:val="0"/>
      <w:marTop w:val="0"/>
      <w:marBottom w:val="0"/>
      <w:divBdr>
        <w:top w:val="none" w:sz="0" w:space="0" w:color="auto"/>
        <w:left w:val="none" w:sz="0" w:space="0" w:color="auto"/>
        <w:bottom w:val="none" w:sz="0" w:space="0" w:color="auto"/>
        <w:right w:val="none" w:sz="0" w:space="0" w:color="auto"/>
      </w:divBdr>
      <w:divsChild>
        <w:div w:id="1553618861">
          <w:marLeft w:val="0"/>
          <w:marRight w:val="0"/>
          <w:marTop w:val="0"/>
          <w:marBottom w:val="0"/>
          <w:divBdr>
            <w:top w:val="none" w:sz="0" w:space="0" w:color="auto"/>
            <w:left w:val="none" w:sz="0" w:space="0" w:color="auto"/>
            <w:bottom w:val="none" w:sz="0" w:space="0" w:color="auto"/>
            <w:right w:val="none" w:sz="0" w:space="0" w:color="auto"/>
          </w:divBdr>
        </w:div>
      </w:divsChild>
    </w:div>
    <w:div w:id="1095714853">
      <w:bodyDiv w:val="1"/>
      <w:marLeft w:val="0"/>
      <w:marRight w:val="0"/>
      <w:marTop w:val="0"/>
      <w:marBottom w:val="0"/>
      <w:divBdr>
        <w:top w:val="none" w:sz="0" w:space="0" w:color="auto"/>
        <w:left w:val="none" w:sz="0" w:space="0" w:color="auto"/>
        <w:bottom w:val="none" w:sz="0" w:space="0" w:color="auto"/>
        <w:right w:val="none" w:sz="0" w:space="0" w:color="auto"/>
      </w:divBdr>
      <w:divsChild>
        <w:div w:id="452528957">
          <w:marLeft w:val="0"/>
          <w:marRight w:val="0"/>
          <w:marTop w:val="0"/>
          <w:marBottom w:val="0"/>
          <w:divBdr>
            <w:top w:val="none" w:sz="0" w:space="0" w:color="auto"/>
            <w:left w:val="none" w:sz="0" w:space="0" w:color="auto"/>
            <w:bottom w:val="none" w:sz="0" w:space="0" w:color="auto"/>
            <w:right w:val="none" w:sz="0" w:space="0" w:color="auto"/>
          </w:divBdr>
        </w:div>
      </w:divsChild>
    </w:div>
    <w:div w:id="1146245462">
      <w:bodyDiv w:val="1"/>
      <w:marLeft w:val="0"/>
      <w:marRight w:val="0"/>
      <w:marTop w:val="0"/>
      <w:marBottom w:val="0"/>
      <w:divBdr>
        <w:top w:val="none" w:sz="0" w:space="0" w:color="auto"/>
        <w:left w:val="none" w:sz="0" w:space="0" w:color="auto"/>
        <w:bottom w:val="none" w:sz="0" w:space="0" w:color="auto"/>
        <w:right w:val="none" w:sz="0" w:space="0" w:color="auto"/>
      </w:divBdr>
    </w:div>
    <w:div w:id="1243375748">
      <w:bodyDiv w:val="1"/>
      <w:marLeft w:val="0"/>
      <w:marRight w:val="0"/>
      <w:marTop w:val="0"/>
      <w:marBottom w:val="0"/>
      <w:divBdr>
        <w:top w:val="none" w:sz="0" w:space="0" w:color="auto"/>
        <w:left w:val="none" w:sz="0" w:space="0" w:color="auto"/>
        <w:bottom w:val="none" w:sz="0" w:space="0" w:color="auto"/>
        <w:right w:val="none" w:sz="0" w:space="0" w:color="auto"/>
      </w:divBdr>
      <w:divsChild>
        <w:div w:id="199824237">
          <w:marLeft w:val="0"/>
          <w:marRight w:val="0"/>
          <w:marTop w:val="0"/>
          <w:marBottom w:val="0"/>
          <w:divBdr>
            <w:top w:val="none" w:sz="0" w:space="0" w:color="auto"/>
            <w:left w:val="none" w:sz="0" w:space="0" w:color="auto"/>
            <w:bottom w:val="none" w:sz="0" w:space="0" w:color="auto"/>
            <w:right w:val="none" w:sz="0" w:space="0" w:color="auto"/>
          </w:divBdr>
        </w:div>
      </w:divsChild>
    </w:div>
    <w:div w:id="1449813259">
      <w:bodyDiv w:val="1"/>
      <w:marLeft w:val="0"/>
      <w:marRight w:val="0"/>
      <w:marTop w:val="0"/>
      <w:marBottom w:val="0"/>
      <w:divBdr>
        <w:top w:val="none" w:sz="0" w:space="0" w:color="auto"/>
        <w:left w:val="none" w:sz="0" w:space="0" w:color="auto"/>
        <w:bottom w:val="none" w:sz="0" w:space="0" w:color="auto"/>
        <w:right w:val="none" w:sz="0" w:space="0" w:color="auto"/>
      </w:divBdr>
    </w:div>
    <w:div w:id="1602641870">
      <w:bodyDiv w:val="1"/>
      <w:marLeft w:val="0"/>
      <w:marRight w:val="0"/>
      <w:marTop w:val="0"/>
      <w:marBottom w:val="0"/>
      <w:divBdr>
        <w:top w:val="none" w:sz="0" w:space="0" w:color="auto"/>
        <w:left w:val="none" w:sz="0" w:space="0" w:color="auto"/>
        <w:bottom w:val="none" w:sz="0" w:space="0" w:color="auto"/>
        <w:right w:val="none" w:sz="0" w:space="0" w:color="auto"/>
      </w:divBdr>
      <w:divsChild>
        <w:div w:id="506214296">
          <w:marLeft w:val="0"/>
          <w:marRight w:val="0"/>
          <w:marTop w:val="0"/>
          <w:marBottom w:val="0"/>
          <w:divBdr>
            <w:top w:val="none" w:sz="0" w:space="0" w:color="auto"/>
            <w:left w:val="none" w:sz="0" w:space="0" w:color="auto"/>
            <w:bottom w:val="none" w:sz="0" w:space="0" w:color="auto"/>
            <w:right w:val="none" w:sz="0" w:space="0" w:color="auto"/>
          </w:divBdr>
        </w:div>
      </w:divsChild>
    </w:div>
    <w:div w:id="1900435291">
      <w:bodyDiv w:val="1"/>
      <w:marLeft w:val="0"/>
      <w:marRight w:val="0"/>
      <w:marTop w:val="0"/>
      <w:marBottom w:val="0"/>
      <w:divBdr>
        <w:top w:val="none" w:sz="0" w:space="0" w:color="auto"/>
        <w:left w:val="none" w:sz="0" w:space="0" w:color="auto"/>
        <w:bottom w:val="none" w:sz="0" w:space="0" w:color="auto"/>
        <w:right w:val="none" w:sz="0" w:space="0" w:color="auto"/>
      </w:divBdr>
    </w:div>
    <w:div w:id="2037001045">
      <w:bodyDiv w:val="1"/>
      <w:marLeft w:val="0"/>
      <w:marRight w:val="0"/>
      <w:marTop w:val="0"/>
      <w:marBottom w:val="0"/>
      <w:divBdr>
        <w:top w:val="none" w:sz="0" w:space="0" w:color="auto"/>
        <w:left w:val="none" w:sz="0" w:space="0" w:color="auto"/>
        <w:bottom w:val="none" w:sz="0" w:space="0" w:color="auto"/>
        <w:right w:val="none" w:sz="0" w:space="0" w:color="auto"/>
      </w:divBdr>
      <w:divsChild>
        <w:div w:id="1606502895">
          <w:marLeft w:val="0"/>
          <w:marRight w:val="0"/>
          <w:marTop w:val="0"/>
          <w:marBottom w:val="0"/>
          <w:divBdr>
            <w:top w:val="none" w:sz="0" w:space="0" w:color="auto"/>
            <w:left w:val="none" w:sz="0" w:space="0" w:color="auto"/>
            <w:bottom w:val="none" w:sz="0" w:space="0" w:color="auto"/>
            <w:right w:val="none" w:sz="0" w:space="0" w:color="auto"/>
          </w:divBdr>
        </w:div>
      </w:divsChild>
    </w:div>
    <w:div w:id="2047168883">
      <w:bodyDiv w:val="1"/>
      <w:marLeft w:val="0"/>
      <w:marRight w:val="0"/>
      <w:marTop w:val="0"/>
      <w:marBottom w:val="0"/>
      <w:divBdr>
        <w:top w:val="none" w:sz="0" w:space="0" w:color="auto"/>
        <w:left w:val="none" w:sz="0" w:space="0" w:color="auto"/>
        <w:bottom w:val="none" w:sz="0" w:space="0" w:color="auto"/>
        <w:right w:val="none" w:sz="0" w:space="0" w:color="auto"/>
      </w:divBdr>
    </w:div>
    <w:div w:id="2080902977">
      <w:bodyDiv w:val="1"/>
      <w:marLeft w:val="0"/>
      <w:marRight w:val="0"/>
      <w:marTop w:val="0"/>
      <w:marBottom w:val="0"/>
      <w:divBdr>
        <w:top w:val="none" w:sz="0" w:space="0" w:color="auto"/>
        <w:left w:val="none" w:sz="0" w:space="0" w:color="auto"/>
        <w:bottom w:val="none" w:sz="0" w:space="0" w:color="auto"/>
        <w:right w:val="none" w:sz="0" w:space="0" w:color="auto"/>
      </w:divBdr>
      <w:divsChild>
        <w:div w:id="53543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8.01389" TargetMode="External"/><Relationship Id="rId3" Type="http://schemas.openxmlformats.org/officeDocument/2006/relationships/webSettings" Target="webSettings.xml"/><Relationship Id="rId7" Type="http://schemas.openxmlformats.org/officeDocument/2006/relationships/hyperlink" Target="https://doi.org/10.1007/978-3-030-74490-8_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978-3-319-63248-3_5" TargetMode="External"/><Relationship Id="rId11" Type="http://schemas.openxmlformats.org/officeDocument/2006/relationships/fontTable" Target="fontTable.xml"/><Relationship Id="rId5" Type="http://schemas.openxmlformats.org/officeDocument/2006/relationships/hyperlink" Target="https://doi.org/10.1080/02602938.2017.1403564" TargetMode="External"/><Relationship Id="rId10" Type="http://schemas.openxmlformats.org/officeDocument/2006/relationships/hyperlink" Target="https://doi.org/10.1371/journal.pone.0112775" TargetMode="External"/><Relationship Id="rId4" Type="http://schemas.openxmlformats.org/officeDocument/2006/relationships/hyperlink" Target="https://doi.org/10.3390/educsci10030054" TargetMode="External"/><Relationship Id="rId9" Type="http://schemas.openxmlformats.org/officeDocument/2006/relationships/hyperlink" Target="https://doi.org/10.1119/perc.2016.plenary.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Bruun</dc:creator>
  <cp:keywords/>
  <dc:description/>
  <cp:lastModifiedBy>Jesper Bruun</cp:lastModifiedBy>
  <cp:revision>3</cp:revision>
  <dcterms:created xsi:type="dcterms:W3CDTF">2022-04-27T04:45:00Z</dcterms:created>
  <dcterms:modified xsi:type="dcterms:W3CDTF">2022-08-16T07:46:00Z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2022-04-27T04:45:18Z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c754c6d0-e8ab-4d73-ba02-6ee1a4b36e8c</vt:lpwstr>
  </property>
  <property fmtid="{D5CDD505-2E9C-101B-9397-08002B2CF9AE}" pid="8" name="MSIP_Label_6a2630e2-1ac5-455e-8217-0156b1936a76_ContentBits">
    <vt:lpwstr>0</vt:lpwstr>
  </property>
</Properties>
</file>