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 xml:space="preserve">-Silver, Duncan, &amp; Chinn, </w:t>
      </w:r>
      <w:r w:rsidR="005E455B">
        <w:t>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w:t>
      </w:r>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w:t>
      </w:r>
      <w:r w:rsidR="00316DBB">
        <w:t>;</w:t>
      </w:r>
      <w:r w:rsidR="00316DBB">
        <w:t>Valverde</w:t>
      </w:r>
      <w:proofErr w:type="gramEnd"/>
      <w:r w:rsidR="00316DBB">
        <w:t>-Berrocoso</w:t>
      </w:r>
      <w:r w:rsidR="00316DBB">
        <w:t>,</w:t>
      </w:r>
      <w:r w:rsidR="00316DBB">
        <w:t xml:space="preserve"> Garrido-Arroyo, Burgos-</w:t>
      </w:r>
      <w:proofErr w:type="spellStart"/>
      <w:r w:rsidR="00316DBB">
        <w:t>Videla</w:t>
      </w:r>
      <w:proofErr w:type="spellEnd"/>
      <w:r w:rsidR="00316DBB">
        <w:t>, &amp; Morales-</w:t>
      </w:r>
      <w:proofErr w:type="spellStart"/>
      <w:r w:rsidR="00316DBB">
        <w:t>Cevallos</w:t>
      </w:r>
      <w:proofErr w:type="spellEnd"/>
      <w:r w:rsidR="00316DBB">
        <w:t xml:space="preserve">, </w:t>
      </w:r>
      <w:r w:rsidR="00316DBB">
        <w:t>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w:t>
      </w:r>
      <w:r w:rsidR="00316DBB">
        <w:t xml:space="preserve">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lastRenderedPageBreak/>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12F7FC4A"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W</w:t>
      </w:r>
      <w:r w:rsidRPr="003E7744">
        <w:rPr>
          <w:color w:val="000000"/>
          <w:lang w:eastAsia="da-DK"/>
        </w:rPr>
        <w:t xml:space="preserve">e present our final thematic </w:t>
      </w:r>
      <w:r>
        <w:rPr>
          <w:color w:val="000000"/>
          <w:lang w:eastAsia="da-DK"/>
        </w:rPr>
        <w:t xml:space="preserve">network </w:t>
      </w:r>
      <w:r w:rsidRPr="003E7744">
        <w:rPr>
          <w:color w:val="000000"/>
          <w:lang w:eastAsia="da-DK"/>
        </w:rPr>
        <w:t>map and then elaborate on themes shown in the map and their connections.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lastRenderedPageBreak/>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2148E2E2" w14:textId="7225E602" w:rsidR="00EA145F" w:rsidRDefault="00EA145F" w:rsidP="00EA145F">
      <w:pPr>
        <w:pStyle w:val="Paragraph"/>
        <w:rPr>
          <w:lang w:eastAsia="da-DK"/>
        </w:rPr>
      </w:pPr>
      <w:r w:rsidRPr="003E7744">
        <w:rPr>
          <w:lang w:eastAsia="da-DK"/>
        </w:rPr>
        <w:t>Figure 3 shows our final thematic map for the theoretical excerpts. The map contains 19 themes. Using community detection, we were able to group themes into three clusters of overarching themes shown in colo</w:t>
      </w:r>
      <w:r>
        <w:rPr>
          <w:lang w:eastAsia="da-DK"/>
        </w:rPr>
        <w:t>u</w:t>
      </w:r>
      <w:r w:rsidRPr="003E7744">
        <w:rPr>
          <w:lang w:eastAsia="da-DK"/>
        </w:rPr>
        <w:t xml:space="preserve">r in Figure 3. Overall interpretative description below is followed by a more detailed analysis of each overarching theme. Below, overarching themes are </w:t>
      </w:r>
      <w:r w:rsidRPr="003E7744">
        <w:rPr>
          <w:i/>
          <w:iCs/>
          <w:u w:val="single"/>
          <w:lang w:eastAsia="da-DK"/>
        </w:rPr>
        <w:t>italicized and underlined</w:t>
      </w:r>
      <w:r w:rsidRPr="003E7744">
        <w:rPr>
          <w:u w:val="single"/>
          <w:lang w:eastAsia="da-DK"/>
        </w:rPr>
        <w:t xml:space="preserve">, </w:t>
      </w:r>
      <w:r w:rsidRPr="003E7744">
        <w:rPr>
          <w:lang w:eastAsia="da-DK"/>
        </w:rPr>
        <w:t xml:space="preserve">while themes and words are </w:t>
      </w:r>
      <w:r w:rsidRPr="003E7744">
        <w:rPr>
          <w:i/>
          <w:iCs/>
          <w:lang w:eastAsia="da-DK"/>
        </w:rPr>
        <w:t>italicized</w:t>
      </w:r>
      <w:r w:rsidRPr="003E7744">
        <w:rPr>
          <w:lang w:eastAsia="da-DK"/>
        </w:rPr>
        <w:t>.</w:t>
      </w:r>
    </w:p>
    <w:p w14:paraId="19FCCF51" w14:textId="77777777" w:rsidR="00EA145F" w:rsidRPr="003E7744" w:rsidRDefault="00EA145F" w:rsidP="00EA145F">
      <w:pPr>
        <w:pStyle w:val="Newparagraph"/>
        <w:rPr>
          <w:lang w:eastAsia="da-DK"/>
        </w:rPr>
      </w:pPr>
      <w:r w:rsidRPr="003E7744">
        <w:rPr>
          <w:lang w:eastAsia="da-DK"/>
        </w:rPr>
        <w:t xml:space="preserve">The orange-coloured themes comprise the themes: Instruction models and evidence, Child inquiry agency, Open-ended investigation, Previous and new knowledge, Inquiry not linear, Ask questions, Hands-on authentic experiences, Child-centred approach, and Influences of mental function.  As we will argue below, this </w:t>
      </w:r>
      <w:r w:rsidRPr="003E7744">
        <w:rPr>
          <w:lang w:eastAsia="da-DK"/>
        </w:rPr>
        <w:lastRenderedPageBreak/>
        <w:t xml:space="preserve">overarching theme seems to capture a group of theoretical descriptions of inquiry that aims at modelling science education practice through a phase-driven instructional model. Accordingly, we have named the first overarching theme: </w:t>
      </w:r>
      <w:r w:rsidRPr="003E7744">
        <w:rPr>
          <w:u w:val="single"/>
          <w:lang w:eastAsia="da-DK"/>
        </w:rPr>
        <w:t>Modelling scientific practice through teaching.</w:t>
      </w:r>
      <w:r w:rsidRPr="003E7744">
        <w:rPr>
          <w:lang w:eastAsia="da-DK"/>
        </w:rPr>
        <w:t> </w:t>
      </w:r>
    </w:p>
    <w:p w14:paraId="12AA239B" w14:textId="77777777" w:rsidR="00EA145F" w:rsidRPr="003E7744" w:rsidRDefault="00EA145F" w:rsidP="00EA145F">
      <w:pPr>
        <w:pStyle w:val="Newparagraph"/>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can be seen to encompass competencies that are crucial for learning, and we named the overarching theme </w:t>
      </w:r>
      <w:r w:rsidRPr="003E7744">
        <w:rPr>
          <w:i/>
          <w:iCs/>
          <w:u w:val="single"/>
          <w:lang w:eastAsia="da-DK"/>
        </w:rPr>
        <w:t>Developing science-related competencies</w:t>
      </w:r>
      <w:r w:rsidRPr="003E7744">
        <w:rPr>
          <w:lang w:eastAsia="da-DK"/>
        </w:rPr>
        <w:t>; our understanding of competencies include both knowing and doing, individually and with others (</w:t>
      </w:r>
      <w:proofErr w:type="spellStart"/>
      <w:r w:rsidRPr="003E7744">
        <w:rPr>
          <w:lang w:eastAsia="da-DK"/>
        </w:rPr>
        <w:t>Ropohl</w:t>
      </w:r>
      <w:proofErr w:type="spellEnd"/>
      <w:r>
        <w:rPr>
          <w:lang w:eastAsia="da-DK"/>
        </w:rPr>
        <w:t xml:space="preserve"> et al., </w:t>
      </w:r>
      <w:r w:rsidRPr="003E7744">
        <w:rPr>
          <w:lang w:eastAsia="da-DK"/>
        </w:rPr>
        <w:t>2018, p. 10).  </w:t>
      </w:r>
    </w:p>
    <w:p w14:paraId="2424A83C" w14:textId="77777777" w:rsidR="00EA145F" w:rsidRPr="003E7744" w:rsidRDefault="00EA145F" w:rsidP="00EA145F">
      <w:pPr>
        <w:pStyle w:val="Newparagraph"/>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 and experience of the world.</w:t>
      </w:r>
    </w:p>
    <w:p w14:paraId="2D56BEBE" w14:textId="484FE486" w:rsidR="00EA145F" w:rsidRDefault="00EA145F" w:rsidP="00EA145F">
      <w:pPr>
        <w:pStyle w:val="New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Pr="003E7744">
        <w:rPr>
          <w:b/>
          <w:bCs/>
          <w:sz w:val="26"/>
          <w:szCs w:val="26"/>
          <w:lang w:eastAsia="da-DK"/>
        </w:rPr>
        <w:t> </w:t>
      </w:r>
    </w:p>
    <w:p w14:paraId="3A6D37FA" w14:textId="75F1E253" w:rsidR="00EA145F" w:rsidRDefault="00EA145F" w:rsidP="00EA145F">
      <w:pPr>
        <w:pStyle w:val="Heading2"/>
        <w:rPr>
          <w:lang w:eastAsia="da-DK"/>
        </w:rPr>
      </w:pPr>
      <w:r w:rsidRPr="003E7744">
        <w:rPr>
          <w:lang w:eastAsia="da-DK"/>
        </w:rPr>
        <w:t xml:space="preserve">The </w:t>
      </w:r>
      <w:r w:rsidRPr="00EA145F">
        <w:rPr>
          <w:u w:val="single"/>
          <w:lang w:eastAsia="da-DK"/>
        </w:rPr>
        <w:t>Modelling scientific practice through teaching</w:t>
      </w:r>
      <w:r w:rsidRPr="003E7744">
        <w:rPr>
          <w:lang w:eastAsia="da-DK"/>
        </w:rPr>
        <w:t xml:space="preserve"> position</w:t>
      </w:r>
    </w:p>
    <w:p w14:paraId="6D0787BE" w14:textId="4AAF89AA"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 models and evidence</w:t>
      </w:r>
      <w:r w:rsidRPr="003E7744">
        <w:rPr>
          <w:lang w:eastAsia="da-DK"/>
        </w:rPr>
        <w:t xml:space="preserve">. One way to interpret this structure is to view themes that point to the central theme as elaborations of important aspects of that theme. With this </w:t>
      </w:r>
      <w:r w:rsidRPr="003E7744">
        <w:rPr>
          <w:lang w:eastAsia="da-DK"/>
        </w:rPr>
        <w:lastRenderedPageBreak/>
        <w:t>interpretation</w:t>
      </w:r>
      <w:r w:rsidRPr="003E7744">
        <w:rPr>
          <w:i/>
          <w:iCs/>
          <w:lang w:eastAsia="da-DK"/>
        </w:rPr>
        <w:t xml:space="preserve">, Agency of children during inquiry, Open-ended investigations, Previous and new knowledge, asking questions,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 through teaching</w:t>
      </w:r>
      <w:r w:rsidRPr="003E7744">
        <w:rPr>
          <w:lang w:eastAsia="da-DK"/>
        </w:rPr>
        <w:t xml:space="preserve"> draw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5C158544" w14:textId="49CD6B5D" w:rsidR="00EA145F" w:rsidRDefault="00EA145F" w:rsidP="00EA145F">
      <w:pPr>
        <w:pStyle w:val="Paragraph"/>
        <w:rPr>
          <w:lang w:eastAsia="da-DK"/>
        </w:rPr>
      </w:pPr>
      <w:r w:rsidRPr="003E7744">
        <w:rPr>
          <w:lang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lang w:eastAsia="da-DK"/>
        </w:rPr>
        <w:t>Desouza</w:t>
      </w:r>
      <w:proofErr w:type="spellEnd"/>
      <w:r w:rsidRPr="003E7744">
        <w:rPr>
          <w:lang w:eastAsia="da-DK"/>
        </w:rPr>
        <w:t xml:space="preserve"> (2017) modifies </w:t>
      </w:r>
      <w:r>
        <w:rPr>
          <w:lang w:eastAsia="da-DK"/>
        </w:rPr>
        <w:t xml:space="preserve">the 5E model by </w:t>
      </w:r>
      <w:r w:rsidRPr="003E7744">
        <w:rPr>
          <w:lang w:eastAsia="da-DK"/>
        </w:rPr>
        <w:t>Bybee et al</w:t>
      </w:r>
      <w:r>
        <w:rPr>
          <w:lang w:eastAsia="da-DK"/>
        </w:rPr>
        <w:t>.</w:t>
      </w:r>
      <w:r w:rsidRPr="003E7744">
        <w:rPr>
          <w:lang w:eastAsia="da-DK"/>
        </w:rPr>
        <w:t xml:space="preserve"> (2006).</w:t>
      </w:r>
      <w:r w:rsidRPr="003E7744">
        <w:rPr>
          <w:i/>
          <w:iCs/>
          <w:lang w:eastAsia="da-DK"/>
        </w:rPr>
        <w:t xml:space="preserve"> </w:t>
      </w:r>
      <w:r w:rsidRPr="003E7744">
        <w:rPr>
          <w:lang w:eastAsia="da-DK"/>
        </w:rPr>
        <w:t>Three-phase models appear in seven papers as condensed versions of the 5E model. For example, the three-phased model E-E-R contextualizes inquiry and draws out children’s prior knowledge and invites predictions the three phases are engage, explore, and reflect (</w:t>
      </w:r>
      <w:proofErr w:type="spellStart"/>
      <w:r w:rsidRPr="003E7744">
        <w:rPr>
          <w:lang w:eastAsia="da-DK"/>
        </w:rPr>
        <w:t>Gropen</w:t>
      </w:r>
      <w:proofErr w:type="spellEnd"/>
      <w:r>
        <w:rPr>
          <w:lang w:eastAsia="da-DK"/>
        </w:rPr>
        <w:t xml:space="preserve"> et al.</w:t>
      </w:r>
      <w:r w:rsidRPr="003E7744">
        <w:rPr>
          <w:lang w:eastAsia="da-DK"/>
        </w:rPr>
        <w:t>, 2017). The argument for modifying models is the limited cognitive and executive development in the age group (</w:t>
      </w:r>
      <w:proofErr w:type="spellStart"/>
      <w:r w:rsidRPr="003E7744">
        <w:rPr>
          <w:lang w:eastAsia="da-DK"/>
        </w:rPr>
        <w:t>Gropen</w:t>
      </w:r>
      <w:proofErr w:type="spellEnd"/>
      <w:r>
        <w:rPr>
          <w:lang w:eastAsia="da-DK"/>
        </w:rPr>
        <w:t xml:space="preserve"> et al.</w:t>
      </w:r>
      <w:r w:rsidRPr="003E7744">
        <w:rPr>
          <w:lang w:eastAsia="da-DK"/>
        </w:rPr>
        <w:t xml:space="preserve">, 2017, </w:t>
      </w:r>
      <w:proofErr w:type="spellStart"/>
      <w:r w:rsidRPr="003E7744">
        <w:rPr>
          <w:lang w:eastAsia="da-DK"/>
        </w:rPr>
        <w:t>Leuchter</w:t>
      </w:r>
      <w:proofErr w:type="spellEnd"/>
      <w:r>
        <w:rPr>
          <w:lang w:eastAsia="da-DK"/>
        </w:rPr>
        <w:t xml:space="preserve"> et al.</w:t>
      </w:r>
      <w:r w:rsidRPr="003E7744">
        <w:rPr>
          <w:lang w:eastAsia="da-DK"/>
        </w:rPr>
        <w:t>, 2014).</w:t>
      </w:r>
    </w:p>
    <w:p w14:paraId="7EBB422C" w14:textId="67EE9022" w:rsidR="00EA145F" w:rsidRDefault="00EA145F" w:rsidP="00EA145F">
      <w:pPr>
        <w:pStyle w:val="Newparagraph"/>
        <w:rPr>
          <w:lang w:eastAsia="da-DK"/>
        </w:rPr>
      </w:pPr>
      <w:r w:rsidRPr="003E7744">
        <w:rPr>
          <w:lang w:eastAsia="da-DK"/>
        </w:rPr>
        <w:t>Instruction models with varied phases play a role to ensure implementation of processes like real scientists and act as a pedagogical structure to underpin planning of science activities.</w:t>
      </w:r>
    </w:p>
    <w:p w14:paraId="4AB5E354" w14:textId="10EEEA69" w:rsidR="00EA145F" w:rsidRDefault="00EA145F" w:rsidP="00EA145F">
      <w:pPr>
        <w:pStyle w:val="Newparagraph"/>
        <w:rPr>
          <w:lang w:eastAsia="da-DK"/>
        </w:rPr>
      </w:pPr>
      <w:r w:rsidRPr="003E7744">
        <w:rPr>
          <w:i/>
          <w:iCs/>
          <w:lang w:eastAsia="da-DK"/>
        </w:rPr>
        <w:lastRenderedPageBreak/>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proofErr w:type="spellStart"/>
      <w:r w:rsidRPr="003E7744">
        <w:rPr>
          <w:lang w:eastAsia="da-DK"/>
        </w:rPr>
        <w:t>preschoolers</w:t>
      </w:r>
      <w:proofErr w:type="spellEnd"/>
      <w:r w:rsidRPr="003E7744">
        <w:rPr>
          <w:lang w:eastAsia="da-DK"/>
        </w:rPr>
        <w:t xml:space="preserve"> do with what adults would do.  </w:t>
      </w:r>
      <w:r w:rsidRPr="003E7744">
        <w:rPr>
          <w:i/>
          <w:iCs/>
          <w:lang w:eastAsia="da-DK"/>
        </w:rPr>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FB284CC" w14:textId="77777777" w:rsidR="00EA145F" w:rsidRPr="003E7744" w:rsidRDefault="00EA145F" w:rsidP="00EA145F">
      <w:pPr>
        <w:pStyle w:val="Newparagraph"/>
        <w:rPr>
          <w:lang w:eastAsia="da-DK"/>
        </w:rPr>
      </w:pPr>
      <w:r w:rsidRPr="003E7744">
        <w:rPr>
          <w:i/>
          <w:iCs/>
          <w:lang w:eastAsia="da-DK"/>
        </w:rPr>
        <w:t>Previous and new knowledge</w:t>
      </w:r>
      <w:r w:rsidRPr="003E7744">
        <w:rPr>
          <w:lang w:eastAsia="da-DK"/>
        </w:rPr>
        <w:t xml:space="preserve"> is part of an instructional approach to inquiry. The theme contains the word </w:t>
      </w:r>
      <w:r w:rsidRPr="003E7744">
        <w:rPr>
          <w:i/>
          <w:iCs/>
          <w:lang w:eastAsia="da-DK"/>
        </w:rPr>
        <w:t xml:space="preserve">construct </w:t>
      </w:r>
      <w:r w:rsidRPr="003E7744">
        <w:rPr>
          <w:lang w:eastAsia="da-DK"/>
        </w:rPr>
        <w:t xml:space="preserve">and the link </w:t>
      </w:r>
      <w:r w:rsidRPr="003E7744">
        <w:rPr>
          <w:i/>
          <w:iCs/>
          <w:lang w:eastAsia="da-DK"/>
        </w:rPr>
        <w:t xml:space="preserve">construct-&gt;knowledge. </w:t>
      </w:r>
      <w:r w:rsidRPr="003E7744">
        <w:rPr>
          <w:lang w:eastAsia="da-DK"/>
        </w:rPr>
        <w:t>However, words and connections in the theme also suggest that there are constraints on the new knowledge which fit with modelling scientific practice. For example, formulating hypotheses, constructing explanations, and scientific forms of representation (such as language and symbols) are all part of this theme.</w:t>
      </w:r>
    </w:p>
    <w:p w14:paraId="2E9D693E" w14:textId="77777777" w:rsidR="00EA145F" w:rsidRPr="003E7744" w:rsidRDefault="00EA145F" w:rsidP="00EA145F">
      <w:pPr>
        <w:pStyle w:val="Newparagraph"/>
        <w:rPr>
          <w:lang w:eastAsia="da-DK"/>
        </w:rPr>
      </w:pPr>
      <w:r w:rsidRPr="003E7744">
        <w:rPr>
          <w:i/>
          <w:iCs/>
          <w:lang w:eastAsia="da-DK"/>
        </w:rPr>
        <w:t>Scientific practices</w:t>
      </w:r>
      <w:r w:rsidRPr="003E7744">
        <w:rPr>
          <w:lang w:eastAsia="da-DK"/>
        </w:rPr>
        <w:t xml:space="preserve"> contain links such as </w:t>
      </w:r>
      <w:r w:rsidRPr="00B70931">
        <w:rPr>
          <w:i/>
          <w:lang w:eastAsia="da-DK"/>
        </w:rPr>
        <w:t>collect-&gt;data</w:t>
      </w:r>
      <w:r w:rsidRPr="003E7744">
        <w:rPr>
          <w:lang w:eastAsia="da-DK"/>
        </w:rPr>
        <w:t xml:space="preserve">, </w:t>
      </w:r>
      <w:r w:rsidRPr="00B70931">
        <w:rPr>
          <w:i/>
          <w:lang w:eastAsia="da-DK"/>
        </w:rPr>
        <w:t>ask-&gt;questions</w:t>
      </w:r>
      <w:r w:rsidRPr="003E7744">
        <w:rPr>
          <w:lang w:eastAsia="da-DK"/>
        </w:rPr>
        <w:t xml:space="preserve">, </w:t>
      </w:r>
      <w:r w:rsidRPr="00B70931">
        <w:rPr>
          <w:i/>
          <w:lang w:eastAsia="da-DK"/>
        </w:rPr>
        <w:t>make-&gt;observation</w:t>
      </w:r>
      <w:r w:rsidRPr="003E7744">
        <w:rPr>
          <w:lang w:eastAsia="da-DK"/>
        </w:rPr>
        <w:t xml:space="preserve">, and </w:t>
      </w:r>
      <w:r w:rsidRPr="00B70931">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78A46BD4" w:rsidR="00EA145F" w:rsidRDefault="00EA145F" w:rsidP="00EA145F">
      <w:pPr>
        <w:pStyle w:val="Newparagraph"/>
        <w:rPr>
          <w:lang w:eastAsia="da-DK"/>
        </w:rPr>
      </w:pPr>
      <w:r w:rsidRPr="003E774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7FAD7435" w:rsidR="00EA145F" w:rsidRDefault="00EA145F" w:rsidP="00EA145F">
      <w:pPr>
        <w:pStyle w:val="Heading2"/>
        <w:rPr>
          <w:lang w:eastAsia="da-DK"/>
        </w:rPr>
      </w:pPr>
      <w:r w:rsidRPr="003E7744">
        <w:rPr>
          <w:lang w:eastAsia="da-DK"/>
        </w:rPr>
        <w:t xml:space="preserve">The </w:t>
      </w:r>
      <w:r w:rsidRPr="00EA145F">
        <w:rPr>
          <w:u w:val="single"/>
          <w:lang w:eastAsia="da-DK"/>
        </w:rPr>
        <w:t>Developing science-related competencies</w:t>
      </w:r>
      <w:r w:rsidRPr="003E7744">
        <w:rPr>
          <w:lang w:eastAsia="da-DK"/>
        </w:rPr>
        <w:t xml:space="preserve"> position</w:t>
      </w:r>
    </w:p>
    <w:p w14:paraId="18E448F3" w14:textId="77777777" w:rsidR="00EA145F" w:rsidRPr="003E7744" w:rsidRDefault="00EA145F" w:rsidP="00EA145F">
      <w:pPr>
        <w:pStyle w:val="Paragraph"/>
        <w:rPr>
          <w:lang w:eastAsia="da-DK"/>
        </w:rPr>
      </w:pPr>
      <w:r w:rsidRPr="003E7744">
        <w:rPr>
          <w:lang w:eastAsia="da-DK"/>
        </w:rPr>
        <w:t>This position concerns the development of skills, literacy, and affect, which children should learn through inquiry. This development points to competencies which are broadly related to science rather than scientific practice. </w:t>
      </w:r>
    </w:p>
    <w:p w14:paraId="08CF5C63" w14:textId="77777777" w:rsidR="00EA145F" w:rsidRPr="003E7744" w:rsidRDefault="00EA145F" w:rsidP="00EA145F">
      <w:pPr>
        <w:pStyle w:val="Newparagraph"/>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Pr="003E7744">
        <w:rPr>
          <w:lang w:eastAsia="da-DK"/>
        </w:rPr>
        <w:t xml:space="preserve">. </w:t>
      </w:r>
      <w:r w:rsidRPr="003E7744">
        <w:rPr>
          <w:i/>
          <w:iCs/>
          <w:lang w:eastAsia="da-DK"/>
        </w:rPr>
        <w:t>Process</w:t>
      </w:r>
      <w:r w:rsidRPr="003E7744">
        <w:rPr>
          <w:lang w:eastAsia="da-DK"/>
        </w:rPr>
        <w:t xml:space="preserve"> refers to ways by which to learn and experiment; in iterative cycles, in which skills are gradually learned. For example, Ilhan &amp; </w:t>
      </w:r>
      <w:proofErr w:type="spellStart"/>
      <w:r w:rsidRPr="003E7744">
        <w:rPr>
          <w:lang w:eastAsia="da-DK"/>
        </w:rPr>
        <w:t>Tosun</w:t>
      </w:r>
      <w:proofErr w:type="spellEnd"/>
      <w:r w:rsidRPr="003E7744">
        <w:rPr>
          <w:lang w:eastAsia="da-DK"/>
        </w:rPr>
        <w:t xml:space="preserve"> (2016, p. 17) writes, “[s]</w:t>
      </w:r>
      <w:proofErr w:type="spellStart"/>
      <w:r w:rsidRPr="003E7744">
        <w:rPr>
          <w:lang w:eastAsia="da-DK"/>
        </w:rPr>
        <w:t>cientific</w:t>
      </w:r>
      <w:proofErr w:type="spellEnd"/>
      <w:r w:rsidRPr="003E7744">
        <w:rPr>
          <w:lang w:eastAsia="da-DK"/>
        </w:rPr>
        <w:t xml:space="preserve"> process skills are essential skills that every individual should have in order to become a science literate,” and “the most frequently repeated scientific process skills are observation, estimation, classification, using numbers, communication, measurement, data recording, problem solving, and reasoning skill.”</w:t>
      </w:r>
    </w:p>
    <w:p w14:paraId="1617E7BB" w14:textId="77777777" w:rsidR="00EA145F" w:rsidRPr="003E7744" w:rsidRDefault="00EA145F" w:rsidP="00EA145F">
      <w:pPr>
        <w:pStyle w:val="Newparagraph"/>
        <w:rPr>
          <w:lang w:eastAsia="da-DK"/>
        </w:rPr>
      </w:pPr>
      <w:r w:rsidRPr="003E7744">
        <w:rPr>
          <w:lang w:eastAsia="da-DK"/>
        </w:rPr>
        <w:t>Problem solving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generally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2E21B964" w14:textId="77777777" w:rsidR="00EA145F" w:rsidRPr="003E7744" w:rsidRDefault="00EA145F" w:rsidP="00EA145F">
      <w:pPr>
        <w:pStyle w:val="Newparagraph"/>
        <w:rPr>
          <w:lang w:eastAsia="da-DK"/>
        </w:rPr>
      </w:pPr>
      <w:r w:rsidRPr="003E7744">
        <w:rPr>
          <w:lang w:eastAsia="da-DK"/>
        </w:rPr>
        <w:t>The ability and process of sharing with and learning from others is part of this theme: “The models students create are then shared, critiqued and refined within the classroom community with the goal of producing a shared collective model that can be used to understand and make predictions in new situations and contexts” (</w:t>
      </w:r>
      <w:proofErr w:type="spellStart"/>
      <w:r w:rsidRPr="003E7744">
        <w:rPr>
          <w:lang w:eastAsia="da-DK"/>
        </w:rPr>
        <w:t>Enyedy</w:t>
      </w:r>
      <w:proofErr w:type="spellEnd"/>
      <w:r>
        <w:rPr>
          <w:lang w:eastAsia="da-DK"/>
        </w:rPr>
        <w:t xml:space="preserve"> et al.,</w:t>
      </w:r>
      <w:r w:rsidRPr="003E7744">
        <w:rPr>
          <w:lang w:eastAsia="da-DK"/>
        </w:rPr>
        <w:t xml:space="preserve"> 2012, p. 348</w:t>
      </w:r>
      <w:r>
        <w:rPr>
          <w:lang w:eastAsia="da-DK"/>
        </w:rPr>
        <w:t>)</w:t>
      </w:r>
      <w:r w:rsidRPr="003E7744">
        <w:rPr>
          <w:lang w:eastAsia="da-DK"/>
        </w:rPr>
        <w:t>. In early childhood, it can be a challenge for teachers to facilitate sharing, “since early childhood students are [just] beginning to build early literacy skills” (</w:t>
      </w:r>
      <w:proofErr w:type="spellStart"/>
      <w:r w:rsidRPr="003E7744">
        <w:rPr>
          <w:lang w:eastAsia="da-DK"/>
        </w:rPr>
        <w:t>Eckhoff</w:t>
      </w:r>
      <w:proofErr w:type="spellEnd"/>
      <w:r>
        <w:rPr>
          <w:lang w:eastAsia="da-DK"/>
        </w:rPr>
        <w:t>,</w:t>
      </w:r>
      <w:r w:rsidRPr="003E7744">
        <w:rPr>
          <w:lang w:eastAsia="da-DK"/>
        </w:rPr>
        <w:t xml:space="preserve"> 2017, p. 220). </w:t>
      </w:r>
    </w:p>
    <w:p w14:paraId="3C5000C7" w14:textId="38FAF9B4" w:rsidR="00EA145F" w:rsidRDefault="00EA145F" w:rsidP="00EA145F">
      <w:pPr>
        <w:pStyle w:val="Newparagraph"/>
        <w:rPr>
          <w:lang w:eastAsia="da-DK"/>
        </w:rPr>
      </w:pPr>
      <w:r w:rsidRPr="003E7744">
        <w:rPr>
          <w:lang w:eastAsia="da-DK"/>
        </w:rPr>
        <w:t xml:space="preserve">We believe that this position is an important bridging position between the two other positions, since it is important to focus on the child’s ability to even participate in </w:t>
      </w:r>
      <w:r w:rsidRPr="003E7744">
        <w:rPr>
          <w:lang w:eastAsia="da-DK"/>
        </w:rPr>
        <w:lastRenderedPageBreak/>
        <w:t xml:space="preserve">the processes of inquiry as part of </w:t>
      </w:r>
      <w:r w:rsidRPr="003E7744">
        <w:rPr>
          <w:i/>
          <w:iCs/>
          <w:u w:val="single"/>
          <w:lang w:eastAsia="da-DK"/>
        </w:rPr>
        <w:t>Developing science-related competencies</w:t>
      </w:r>
      <w:r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04F0B1B4" w:rsidR="00EA145F" w:rsidRDefault="00EA145F" w:rsidP="00EA145F">
      <w:pPr>
        <w:pStyle w:val="Heading2"/>
        <w:rPr>
          <w:lang w:eastAsia="da-DK"/>
        </w:rPr>
      </w:pPr>
      <w:r w:rsidRPr="003E7744">
        <w:rPr>
          <w:lang w:eastAsia="da-DK"/>
        </w:rPr>
        <w:t xml:space="preserve">The </w:t>
      </w:r>
      <w:r w:rsidRPr="00EA145F">
        <w:rPr>
          <w:u w:val="single"/>
          <w:lang w:eastAsia="da-DK"/>
        </w:rPr>
        <w:t>Child exploration and experience of the world</w:t>
      </w:r>
      <w:r w:rsidRPr="003E7744">
        <w:rPr>
          <w:lang w:eastAsia="da-DK"/>
        </w:rPr>
        <w:t xml:space="preserve"> position</w:t>
      </w:r>
    </w:p>
    <w:p w14:paraId="7E8B2E08" w14:textId="77777777" w:rsidR="00091B39" w:rsidRPr="003E7744" w:rsidRDefault="00091B39" w:rsidP="00091B39">
      <w:pPr>
        <w:pStyle w:val="Paragraph"/>
        <w:rPr>
          <w:lang w:eastAsia="da-DK"/>
        </w:rPr>
      </w:pPr>
      <w:r w:rsidRPr="003E7744">
        <w:rPr>
          <w:lang w:eastAsia="da-DK"/>
        </w:rPr>
        <w:t xml:space="preserve">In </w:t>
      </w:r>
      <w:r w:rsidRPr="003E7744">
        <w:rPr>
          <w:i/>
          <w:iCs/>
          <w:u w:val="single"/>
          <w:lang w:eastAsia="da-DK"/>
        </w:rPr>
        <w:t>Child exploration and experience of the world</w:t>
      </w:r>
      <w:r w:rsidRPr="003E7744">
        <w:rPr>
          <w:lang w:eastAsia="da-DK"/>
        </w:rPr>
        <w:t xml:space="preserve"> two arrows point from the central </w:t>
      </w:r>
      <w:r w:rsidRPr="003E7744">
        <w:rPr>
          <w:i/>
          <w:iCs/>
          <w:lang w:eastAsia="da-DK"/>
        </w:rPr>
        <w:t>Young child explores</w:t>
      </w:r>
      <w:r w:rsidRPr="003E7744">
        <w:rPr>
          <w:lang w:eastAsia="da-DK"/>
        </w:rPr>
        <w:t xml:space="preserve">. One points to </w:t>
      </w:r>
      <w:r w:rsidRPr="003E7744">
        <w:rPr>
          <w:i/>
          <w:iCs/>
          <w:lang w:eastAsia="da-DK"/>
        </w:rPr>
        <w:t>Experiential education,</w:t>
      </w:r>
      <w:r w:rsidRPr="003E7744">
        <w:rPr>
          <w:lang w:eastAsia="da-DK"/>
        </w:rPr>
        <w:t xml:space="preserve"> another to </w:t>
      </w:r>
      <w:r w:rsidRPr="003E7744">
        <w:rPr>
          <w:i/>
          <w:iCs/>
          <w:lang w:eastAsia="da-DK"/>
        </w:rPr>
        <w:t>Surrounding world</w:t>
      </w:r>
      <w:r w:rsidRPr="003E7744">
        <w:rPr>
          <w:lang w:eastAsia="da-DK"/>
        </w:rPr>
        <w:t xml:space="preserve">. This could signify that the </w:t>
      </w:r>
      <w:r w:rsidRPr="003E7744">
        <w:rPr>
          <w:i/>
          <w:iCs/>
          <w:lang w:eastAsia="da-DK"/>
        </w:rPr>
        <w:t>Young child explores</w:t>
      </w:r>
      <w:r w:rsidRPr="003E7744">
        <w:rPr>
          <w:lang w:eastAsia="da-DK"/>
        </w:rPr>
        <w:t xml:space="preserve"> theme somehow modifies or informs these two other themes.  </w:t>
      </w:r>
    </w:p>
    <w:p w14:paraId="3C71F27A" w14:textId="77777777" w:rsidR="00091B39" w:rsidRPr="003E7744" w:rsidRDefault="00091B39" w:rsidP="00091B39">
      <w:pPr>
        <w:pStyle w:val="Newparagraph"/>
        <w:rPr>
          <w:lang w:eastAsia="da-DK"/>
        </w:rPr>
      </w:pPr>
      <w:r w:rsidRPr="003E7744">
        <w:rPr>
          <w:lang w:eastAsia="da-DK"/>
        </w:rPr>
        <w:t xml:space="preserve">As a theme, </w:t>
      </w:r>
      <w:r w:rsidRPr="003E7744">
        <w:rPr>
          <w:i/>
          <w:iCs/>
          <w:lang w:eastAsia="da-DK"/>
        </w:rPr>
        <w:t xml:space="preserve">Young child explores </w:t>
      </w:r>
      <w:r w:rsidRPr="003E7744">
        <w:rPr>
          <w:lang w:eastAsia="da-DK"/>
        </w:rPr>
        <w:t xml:space="preserve">is characterised by thick connections from </w:t>
      </w:r>
      <w:r w:rsidRPr="003E7744">
        <w:rPr>
          <w:i/>
          <w:iCs/>
          <w:lang w:eastAsia="da-DK"/>
        </w:rPr>
        <w:t>young</w:t>
      </w:r>
      <w:r w:rsidRPr="003E7744">
        <w:rPr>
          <w:lang w:eastAsia="da-DK"/>
        </w:rPr>
        <w:t xml:space="preserve"> to </w:t>
      </w:r>
      <w:r w:rsidRPr="003E7744">
        <w:rPr>
          <w:i/>
          <w:iCs/>
          <w:lang w:eastAsia="da-DK"/>
        </w:rPr>
        <w:t>child</w:t>
      </w:r>
      <w:r w:rsidRPr="003E7744">
        <w:rPr>
          <w:lang w:eastAsia="da-DK"/>
        </w:rPr>
        <w:t xml:space="preserve"> and from </w:t>
      </w:r>
      <w:r w:rsidRPr="003E7744">
        <w:rPr>
          <w:i/>
          <w:iCs/>
          <w:lang w:eastAsia="da-DK"/>
        </w:rPr>
        <w:t xml:space="preserve">child </w:t>
      </w:r>
      <w:r w:rsidRPr="003E7744">
        <w:rPr>
          <w:lang w:eastAsia="da-DK"/>
        </w:rPr>
        <w:t xml:space="preserve">to </w:t>
      </w:r>
      <w:r w:rsidRPr="003E7744">
        <w:rPr>
          <w:i/>
          <w:iCs/>
          <w:lang w:eastAsia="da-DK"/>
        </w:rPr>
        <w:t>explore</w:t>
      </w:r>
      <w:r w:rsidRPr="003E7744">
        <w:rPr>
          <w:lang w:eastAsia="da-DK"/>
        </w:rPr>
        <w:t xml:space="preserve">. The word </w:t>
      </w:r>
      <w:r w:rsidRPr="003E7744">
        <w:rPr>
          <w:i/>
          <w:iCs/>
          <w:lang w:eastAsia="da-DK"/>
        </w:rPr>
        <w:t xml:space="preserve">child </w:t>
      </w:r>
      <w:r w:rsidRPr="003E7744">
        <w:rPr>
          <w:lang w:eastAsia="da-DK"/>
        </w:rPr>
        <w:t>is</w:t>
      </w:r>
      <w:r w:rsidRPr="003E7744">
        <w:rPr>
          <w:i/>
          <w:iCs/>
          <w:lang w:eastAsia="da-DK"/>
        </w:rPr>
        <w:t xml:space="preserve"> </w:t>
      </w:r>
      <w:r w:rsidRPr="003E7744">
        <w:rPr>
          <w:lang w:eastAsia="da-DK"/>
        </w:rPr>
        <w:t xml:space="preserve">central in the sense that many words connect to it either directly or through other connections. As such, in this theme, </w:t>
      </w:r>
      <w:r w:rsidRPr="003E7744">
        <w:rPr>
          <w:i/>
          <w:iCs/>
          <w:lang w:eastAsia="da-DK"/>
        </w:rPr>
        <w:t xml:space="preserve">child </w:t>
      </w:r>
      <w:r w:rsidRPr="003E7744">
        <w:rPr>
          <w:lang w:eastAsia="da-DK"/>
        </w:rPr>
        <w:t xml:space="preserve">can be associated with encouragement, inciting, stimulating, empowering, assisting, and enabling. Likewise, the word </w:t>
      </w:r>
      <w:r w:rsidRPr="003E7744">
        <w:rPr>
          <w:i/>
          <w:iCs/>
          <w:lang w:eastAsia="da-DK"/>
        </w:rPr>
        <w:t xml:space="preserve">engage </w:t>
      </w:r>
      <w:r w:rsidRPr="003E7744">
        <w:rPr>
          <w:lang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p>
    <w:p w14:paraId="7A6FF8AD" w14:textId="77777777"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xml:space="preserve">, 2017), which may involve many aspects, such as </w:t>
      </w:r>
      <w:r w:rsidRPr="003E7744">
        <w:rPr>
          <w:lang w:eastAsia="da-DK"/>
        </w:rPr>
        <w:lastRenderedPageBreak/>
        <w:t>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77777777" w:rsidR="00091B39" w:rsidRPr="003E7744" w:rsidRDefault="00091B39" w:rsidP="00091B39">
      <w:pPr>
        <w:pStyle w:val="Newparagraph"/>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10DBD2A5" w14:textId="77777777" w:rsidR="00091B39" w:rsidRPr="003E7744" w:rsidRDefault="00091B39" w:rsidP="00091B39">
      <w:pPr>
        <w:pStyle w:val="Newparagraph"/>
        <w:rPr>
          <w:lang w:eastAsia="da-DK"/>
        </w:rPr>
      </w:pPr>
      <w:r w:rsidRPr="003E7744">
        <w:rPr>
          <w:lang w:eastAsia="da-DK"/>
        </w:rPr>
        <w:t>Children should develop their thinking by actively trying to develop their interpretations of experiences. Here, curiosity can drive action so that the engaged learner comes to own the inquiry process (Bruce</w:t>
      </w:r>
      <w:r>
        <w:rPr>
          <w:lang w:eastAsia="da-DK"/>
        </w:rPr>
        <w:t xml:space="preserve"> </w:t>
      </w:r>
      <w:r w:rsidRPr="003E7744">
        <w:rPr>
          <w:lang w:eastAsia="da-DK"/>
        </w:rPr>
        <w:t>&amp; Casey, 2012</w:t>
      </w:r>
      <w:r>
        <w:rPr>
          <w:lang w:eastAsia="da-DK"/>
        </w:rPr>
        <w:t>;</w:t>
      </w:r>
      <w:r w:rsidRPr="003E7744">
        <w:rPr>
          <w:lang w:eastAsia="da-DK"/>
        </w:rPr>
        <w:t xml:space="preserve"> </w:t>
      </w:r>
      <w:proofErr w:type="spellStart"/>
      <w:r w:rsidRPr="003E7744">
        <w:rPr>
          <w:lang w:eastAsia="da-DK"/>
        </w:rPr>
        <w:t>Samarapungavan</w:t>
      </w:r>
      <w:proofErr w:type="spellEnd"/>
      <w:r>
        <w:rPr>
          <w:lang w:eastAsia="da-DK"/>
        </w:rPr>
        <w:t xml:space="preserve"> et al.</w:t>
      </w:r>
      <w:r w:rsidRPr="003E7744">
        <w:rPr>
          <w:lang w:eastAsia="da-DK"/>
        </w:rPr>
        <w:t>, 20</w:t>
      </w:r>
      <w:r>
        <w:rPr>
          <w:lang w:eastAsia="da-DK"/>
        </w:rPr>
        <w:t>09</w:t>
      </w:r>
      <w:r w:rsidRPr="003E7744">
        <w:rPr>
          <w:lang w:eastAsia="da-DK"/>
        </w:rPr>
        <w:t xml:space="preserve">; </w:t>
      </w:r>
      <w:proofErr w:type="spellStart"/>
      <w:r w:rsidRPr="003E7744">
        <w:rPr>
          <w:lang w:eastAsia="da-DK"/>
        </w:rPr>
        <w:t>Senocak</w:t>
      </w:r>
      <w:proofErr w:type="spellEnd"/>
      <w:r>
        <w:rPr>
          <w:lang w:eastAsia="da-DK"/>
        </w:rPr>
        <w:t xml:space="preserve"> et al.,</w:t>
      </w:r>
      <w:r w:rsidRPr="003E7744">
        <w:rPr>
          <w:lang w:eastAsia="da-DK"/>
        </w:rPr>
        <w:t xml:space="preserve"> 2013; Van hook</w:t>
      </w:r>
      <w:r>
        <w:rPr>
          <w:lang w:eastAsia="da-DK"/>
        </w:rPr>
        <w:t xml:space="preserve"> </w:t>
      </w:r>
      <w:r w:rsidRPr="003E7744">
        <w:rPr>
          <w:lang w:eastAsia="da-DK"/>
        </w:rPr>
        <w:t xml:space="preserve">&amp; </w:t>
      </w:r>
      <w:proofErr w:type="spellStart"/>
      <w:r w:rsidRPr="003E7744">
        <w:rPr>
          <w:lang w:eastAsia="da-DK"/>
        </w:rPr>
        <w:t>Huziak</w:t>
      </w:r>
      <w:proofErr w:type="spellEnd"/>
      <w:r w:rsidRPr="003E7744">
        <w:rPr>
          <w:lang w:eastAsia="da-DK"/>
        </w:rPr>
        <w:t xml:space="preserve">-Clark, 2008). The importance of curiosity is highlighted by Ilhan </w:t>
      </w:r>
      <w:r>
        <w:rPr>
          <w:lang w:eastAsia="da-DK"/>
        </w:rPr>
        <w:t>&amp;</w:t>
      </w:r>
      <w:r w:rsidRPr="003E7744">
        <w:rPr>
          <w:lang w:eastAsia="da-DK"/>
        </w:rPr>
        <w:t xml:space="preserve"> </w:t>
      </w:r>
      <w:proofErr w:type="spellStart"/>
      <w:r w:rsidRPr="003E7744">
        <w:rPr>
          <w:lang w:eastAsia="da-DK"/>
        </w:rPr>
        <w:t>Tosun</w:t>
      </w:r>
      <w:proofErr w:type="spellEnd"/>
      <w:r w:rsidRPr="003E7744">
        <w:rPr>
          <w:lang w:eastAsia="da-DK"/>
        </w:rPr>
        <w:t xml:space="preserve"> (2016) who point out that science in ECE should be directed toward satisfying the curiosity of children, rather than providing information on scientific concepts.</w:t>
      </w:r>
    </w:p>
    <w:p w14:paraId="5C2CCB6C" w14:textId="77777777" w:rsidR="00091B39" w:rsidRPr="003E7744" w:rsidRDefault="00091B39" w:rsidP="00091B39">
      <w:pPr>
        <w:pStyle w:val="Newparagraph"/>
        <w:rPr>
          <w:lang w:eastAsia="da-DK"/>
        </w:rPr>
      </w:pPr>
      <w:r w:rsidRPr="003E7744">
        <w:rPr>
          <w:i/>
          <w:iCs/>
          <w:lang w:eastAsia="da-DK"/>
        </w:rPr>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3D84D303" w14:textId="77777777" w:rsidR="00091B39" w:rsidRPr="003E7744" w:rsidRDefault="00091B39" w:rsidP="00091B39">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is unsurprising in that it resembles what children should explore; the strongest link in </w:t>
      </w:r>
      <w:r w:rsidRPr="003E7744">
        <w:rPr>
          <w:i/>
          <w:iCs/>
          <w:lang w:eastAsia="da-DK"/>
        </w:rPr>
        <w:lastRenderedPageBreak/>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p>
    <w:p w14:paraId="2B9FFFB2" w14:textId="61D61F15" w:rsidR="00091B39" w:rsidRDefault="00091B39" w:rsidP="00091B39">
      <w:pPr>
        <w:pStyle w:val="Newparagraph"/>
        <w:rPr>
          <w:lang w:eastAsia="da-DK"/>
        </w:rPr>
      </w:pPr>
      <w:r w:rsidRPr="003E7744">
        <w:rPr>
          <w:lang w:eastAsia="da-DK"/>
        </w:rPr>
        <w:t xml:space="preserve">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31497CA1" w14:textId="15263309" w:rsidR="00091B39" w:rsidRDefault="00091B39" w:rsidP="00091B39">
      <w:pPr>
        <w:pStyle w:val="Heading2"/>
        <w:rPr>
          <w:lang w:eastAsia="da-DK"/>
        </w:rPr>
      </w:pPr>
      <w:r w:rsidRPr="003E7744">
        <w:rPr>
          <w:lang w:eastAsia="da-DK"/>
        </w:rPr>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2B2B2F0D" w14:textId="0D9BC6CD" w:rsidR="00091B39" w:rsidRDefault="00091B39" w:rsidP="00091B39">
      <w:pPr>
        <w:pStyle w:val="Figurecaption"/>
        <w:rPr>
          <w:lang w:eastAsia="da-DK"/>
        </w:rPr>
      </w:pPr>
      <w:r w:rsidRPr="00091B39">
        <w:rPr>
          <w:lang w:eastAsia="da-DK"/>
        </w:rPr>
        <w:t>Figure 4.</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2EC1B6C9" w14:textId="77777777" w:rsidR="00091B39" w:rsidRPr="003E7744" w:rsidRDefault="00091B39" w:rsidP="00091B39">
      <w:pPr>
        <w:pStyle w:val="Paragraph"/>
        <w:rPr>
          <w:lang w:eastAsia="da-DK"/>
        </w:rPr>
      </w:pPr>
      <w:r w:rsidRPr="003E7744">
        <w:rPr>
          <w:lang w:eastAsia="da-DK"/>
        </w:rPr>
        <w:lastRenderedPageBreak/>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This connection from words and phrases in </w:t>
      </w:r>
      <w:r w:rsidRPr="003E7744">
        <w:rPr>
          <w:i/>
          <w:iCs/>
          <w:lang w:eastAsia="da-DK"/>
        </w:rPr>
        <w:t xml:space="preserve">Young child explores </w:t>
      </w:r>
      <w:r w:rsidRPr="003E7744">
        <w:rPr>
          <w:lang w:eastAsia="da-DK"/>
        </w:rPr>
        <w:t xml:space="preserve">modifying words and phrases in </w:t>
      </w:r>
      <w:r w:rsidRPr="003E7744">
        <w:rPr>
          <w:i/>
          <w:iCs/>
          <w:lang w:eastAsia="da-DK"/>
        </w:rPr>
        <w:t>Instruction models and evidence</w:t>
      </w:r>
      <w:r w:rsidRPr="003E7744">
        <w:rPr>
          <w:lang w:eastAsia="da-DK"/>
        </w:rPr>
        <w:t>; for example, that the child’s interest should be taken into account in instructional models. Another reason for this connection is that the word explore is both a phase in many instructional models and an action that children should take.</w:t>
      </w: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77777777" w:rsidR="00091B39" w:rsidRPr="003E7744" w:rsidRDefault="00091B39" w:rsidP="00091B39">
      <w:pPr>
        <w:pStyle w:val="Newparagraph"/>
        <w:rPr>
          <w:lang w:eastAsia="da-DK"/>
        </w:rPr>
      </w:pPr>
      <w:r w:rsidRPr="003E7744">
        <w:rPr>
          <w:lang w:eastAsia="da-DK"/>
        </w:rPr>
        <w:t>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Developing 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w:t>
      </w:r>
      <w:r w:rsidRPr="003E7744">
        <w:rPr>
          <w:i/>
          <w:iCs/>
          <w:u w:val="single"/>
          <w:lang w:eastAsia="da-DK"/>
        </w:rPr>
        <w:lastRenderedPageBreak/>
        <w:t xml:space="preserve">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73E66D2B" w14:textId="77777777" w:rsidR="0001073F" w:rsidRDefault="00091B39" w:rsidP="00091B39">
      <w:pPr>
        <w:pStyle w:val="Newparagraph"/>
        <w:rPr>
          <w:lang w:eastAsia="da-DK"/>
        </w:rPr>
      </w:pPr>
      <w:r w:rsidRPr="003E7744">
        <w:rPr>
          <w:lang w:eastAsia="da-DK"/>
        </w:rPr>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t>
      </w:r>
      <w:r w:rsidRPr="003E7744">
        <w:rPr>
          <w:lang w:eastAsia="da-DK"/>
        </w:rPr>
        <w:lastRenderedPageBreak/>
        <w:t xml:space="preserve">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practice</w:t>
      </w:r>
      <w:r w:rsidR="0001073F">
        <w:rPr>
          <w:lang w:eastAsia="da-DK"/>
        </w:rPr>
        <w:t>.</w:t>
      </w:r>
    </w:p>
    <w:p w14:paraId="4660E1E1" w14:textId="5B0542F4" w:rsidR="00091B39" w:rsidRDefault="00091B39" w:rsidP="00091B39">
      <w:pPr>
        <w:pStyle w:val="Newparagraph"/>
        <w:rPr>
          <w:lang w:eastAsia="da-DK"/>
        </w:rPr>
      </w:pPr>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open for qualified science experiences in early childhood? Which science-related competencies should be developed during early childhood? In answering these questions, we advocate that future research follows Dewey’s mediating path</w:t>
      </w:r>
      <w:r>
        <w:rPr>
          <w:lang w:eastAsia="da-DK"/>
        </w:rPr>
        <w:t xml:space="preserve"> by carefully foster situations based on the philosophy of experience (Dewey 1938/2015).</w:t>
      </w:r>
      <w:r w:rsidRPr="003E7744">
        <w:rPr>
          <w:lang w:eastAsia="da-DK"/>
        </w:rPr>
        <w:t>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published methods (AUTHORS 2019, AUTHORS </w:t>
      </w:r>
      <w:r>
        <w:rPr>
          <w:i/>
          <w:iCs/>
          <w:lang w:eastAsia="da-DK"/>
        </w:rPr>
        <w:t>in press</w:t>
      </w:r>
      <w:r>
        <w:rPr>
          <w:lang w:eastAsia="da-DK"/>
        </w:rPr>
        <w:t xml:space="preserve">), and thus shares methodological issues with methods. The issues include, whether the products of our 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w:t>
      </w:r>
      <w:r>
        <w:rPr>
          <w:lang w:eastAsia="da-DK"/>
        </w:rPr>
        <w:lastRenderedPageBreak/>
        <w:t xml:space="preserve">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w:t>
      </w:r>
      <w:r>
        <w:rPr>
          <w:lang w:eastAsia="da-DK"/>
        </w:rPr>
        <w:lastRenderedPageBreak/>
        <w:t xml:space="preserve">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w:t>
      </w:r>
      <w:r>
        <w:rPr>
          <w:lang w:eastAsia="da-DK"/>
        </w:rPr>
        <w:lastRenderedPageBreak/>
        <w:t xml:space="preserve">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2"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lastRenderedPageBreak/>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56538C5D" w14:textId="77777777" w:rsidR="00091B39" w:rsidRPr="005E455B" w:rsidRDefault="00091B39" w:rsidP="005E455B">
      <w:pPr>
        <w:pStyle w:val="References"/>
      </w:pPr>
      <w:proofErr w:type="spellStart"/>
      <w:r w:rsidRPr="00011325">
        <w:rPr>
          <w:lang w:val="da-DK"/>
        </w:rPr>
        <w:t>Decristan</w:t>
      </w:r>
      <w:proofErr w:type="spellEnd"/>
      <w:r w:rsidRPr="00011325">
        <w:rPr>
          <w:lang w:val="da-DK"/>
        </w:rPr>
        <w:t xml:space="preserve">, J., </w:t>
      </w:r>
      <w:proofErr w:type="spellStart"/>
      <w:r w:rsidRPr="00011325">
        <w:rPr>
          <w:lang w:val="da-DK"/>
        </w:rPr>
        <w:t>Hondrich</w:t>
      </w:r>
      <w:proofErr w:type="spellEnd"/>
      <w:r w:rsidRPr="00011325">
        <w:rPr>
          <w:lang w:val="da-DK"/>
        </w:rPr>
        <w:t xml:space="preserve">, A. L., </w:t>
      </w:r>
      <w:proofErr w:type="spellStart"/>
      <w:r w:rsidRPr="00011325">
        <w:rPr>
          <w:lang w:val="da-DK"/>
        </w:rPr>
        <w:t>Büttner</w:t>
      </w:r>
      <w:proofErr w:type="spellEnd"/>
      <w:r w:rsidRPr="00011325">
        <w:rPr>
          <w:lang w:val="da-DK"/>
        </w:rPr>
        <w:t xml:space="preserve">, G., Hertel, S., </w:t>
      </w:r>
      <w:proofErr w:type="spellStart"/>
      <w:r w:rsidRPr="00011325">
        <w:rPr>
          <w:lang w:val="da-DK"/>
        </w:rPr>
        <w:t>Klieme</w:t>
      </w:r>
      <w:proofErr w:type="spellEnd"/>
      <w:r w:rsidRPr="00011325">
        <w:rPr>
          <w:lang w:val="da-DK"/>
        </w:rPr>
        <w:t xml:space="preserve">, E., </w:t>
      </w:r>
      <w:proofErr w:type="spellStart"/>
      <w:r w:rsidRPr="00011325">
        <w:rPr>
          <w:lang w:val="da-DK"/>
        </w:rPr>
        <w:t>Kunter</w:t>
      </w:r>
      <w:proofErr w:type="spellEnd"/>
      <w:r w:rsidRPr="00011325">
        <w:rPr>
          <w:lang w:val="da-DK"/>
        </w:rPr>
        <w:t xml:space="preserve">, M., ... </w:t>
      </w:r>
      <w:r w:rsidRPr="005E455B">
        <w:t>&amp; Naumann, A. (2015). Impact of additional guidance in science education on primary students’ conceptual understanding. The Journal of Educational Research, 108(5),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3"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lastRenderedPageBreak/>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rPr>
          <w:lang w:val="en-DK"/>
        </w:rPr>
      </w:pPr>
      <w:r w:rsidRPr="004146CC">
        <w:rPr>
          <w:lang w:val="en-DK"/>
        </w:rPr>
        <w:t xml:space="preserve">Hattie, J., &amp; Timperley, H. (2007). The power of feedback. </w:t>
      </w:r>
      <w:r w:rsidRPr="004146CC">
        <w:rPr>
          <w:i/>
          <w:iCs/>
          <w:lang w:val="en-DK"/>
        </w:rPr>
        <w:t>Review of educational research</w:t>
      </w:r>
      <w:r w:rsidRPr="004146CC">
        <w:rPr>
          <w:lang w:val="en-DK"/>
        </w:rPr>
        <w:t xml:space="preserve">, </w:t>
      </w:r>
      <w:r w:rsidRPr="004146CC">
        <w:rPr>
          <w:i/>
          <w:iCs/>
          <w:lang w:val="en-DK"/>
        </w:rPr>
        <w:t>77</w:t>
      </w:r>
      <w:r w:rsidRPr="004146CC">
        <w:rPr>
          <w:lang w:val="en-DK"/>
        </w:rPr>
        <w:t>(1), 81-112.</w:t>
      </w:r>
    </w:p>
    <w:p w14:paraId="2201C678" w14:textId="2320AE49" w:rsidR="004146CC" w:rsidRPr="004146CC" w:rsidRDefault="004146CC" w:rsidP="004146CC">
      <w:pPr>
        <w:pStyle w:val="References"/>
        <w:rPr>
          <w:lang w:val="en-DK"/>
        </w:rPr>
      </w:pPr>
      <w:r w:rsidRPr="004146CC">
        <w:rPr>
          <w:lang w:val="en-DK"/>
        </w:rPr>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lastRenderedPageBreak/>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229DD">
        <w:rPr>
          <w:color w:val="000000"/>
          <w:lang w:val="en-US" w:eastAsia="da-DK"/>
        </w:rPr>
        <w:t>Lanphear</w:t>
      </w:r>
      <w:proofErr w:type="spellEnd"/>
      <w:r w:rsidRPr="000229DD">
        <w:rPr>
          <w:color w:val="000000"/>
          <w:lang w:val="en-US" w:eastAsia="da-DK"/>
        </w:rPr>
        <w:t xml:space="preserve">, J., &amp; </w:t>
      </w:r>
      <w:proofErr w:type="spellStart"/>
      <w:r w:rsidRPr="000229DD">
        <w:rPr>
          <w:color w:val="000000"/>
          <w:lang w:val="en-US" w:eastAsia="da-DK"/>
        </w:rPr>
        <w:t>Vandermaas</w:t>
      </w:r>
      <w:proofErr w:type="spellEnd"/>
      <w:r w:rsidRPr="000229DD">
        <w:rPr>
          <w:color w:val="000000"/>
          <w:lang w:val="en-US" w:eastAsia="da-DK"/>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lastRenderedPageBreak/>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lastRenderedPageBreak/>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1CC7B" w14:textId="77777777" w:rsidR="00E16E62" w:rsidRDefault="00E16E62" w:rsidP="00AF2C92">
      <w:r>
        <w:separator/>
      </w:r>
    </w:p>
  </w:endnote>
  <w:endnote w:type="continuationSeparator" w:id="0">
    <w:p w14:paraId="74E47DD3" w14:textId="77777777" w:rsidR="00E16E62" w:rsidRDefault="00E16E6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AB02E" w14:textId="77777777" w:rsidR="00E16E62" w:rsidRDefault="00E16E62" w:rsidP="00AF2C92">
      <w:r>
        <w:separator/>
      </w:r>
    </w:p>
  </w:footnote>
  <w:footnote w:type="continuationSeparator" w:id="0">
    <w:p w14:paraId="421D239C" w14:textId="77777777" w:rsidR="00E16E62" w:rsidRDefault="00E16E62"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20"/>
  </w:num>
  <w:num w:numId="32">
    <w:abstractNumId w:val="27"/>
  </w:num>
  <w:num w:numId="33">
    <w:abstractNumId w:val="1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073F"/>
    <w:rsid w:val="00011325"/>
    <w:rsid w:val="000133C0"/>
    <w:rsid w:val="00014C4E"/>
    <w:rsid w:val="00017107"/>
    <w:rsid w:val="000202E2"/>
    <w:rsid w:val="00022441"/>
    <w:rsid w:val="0002261E"/>
    <w:rsid w:val="000229DD"/>
    <w:rsid w:val="00024839"/>
    <w:rsid w:val="00026871"/>
    <w:rsid w:val="00037A98"/>
    <w:rsid w:val="000427FB"/>
    <w:rsid w:val="0004455E"/>
    <w:rsid w:val="00045F75"/>
    <w:rsid w:val="00047CB5"/>
    <w:rsid w:val="00051FAA"/>
    <w:rsid w:val="000572A9"/>
    <w:rsid w:val="00061325"/>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24F07"/>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68D9"/>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210A"/>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0602"/>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35F5"/>
    <w:rsid w:val="00754B80"/>
    <w:rsid w:val="00761918"/>
    <w:rsid w:val="00762F03"/>
    <w:rsid w:val="0076413B"/>
    <w:rsid w:val="007648AE"/>
    <w:rsid w:val="00764BF8"/>
    <w:rsid w:val="0076514D"/>
    <w:rsid w:val="0076734E"/>
    <w:rsid w:val="00773D59"/>
    <w:rsid w:val="00781003"/>
    <w:rsid w:val="007911FD"/>
    <w:rsid w:val="00793930"/>
    <w:rsid w:val="00793DD1"/>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36D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E73"/>
    <w:rsid w:val="00EC0FE9"/>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3D8C"/>
    <w:rsid w:val="00FA3102"/>
    <w:rsid w:val="00FA48D4"/>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lang w:val="en-DK"/>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lang w:val="en-GB"/>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lang w:val="en-GB"/>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lang w:val="en-GB"/>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lang w:val="en-GB"/>
    </w:rPr>
  </w:style>
  <w:style w:type="paragraph" w:customStyle="1" w:styleId="Authornames">
    <w:name w:val="Author names"/>
    <w:basedOn w:val="Normal"/>
    <w:next w:val="Normal"/>
    <w:qFormat/>
    <w:rsid w:val="00F04900"/>
    <w:pPr>
      <w:spacing w:before="240" w:line="360" w:lineRule="auto"/>
    </w:pPr>
    <w:rPr>
      <w:sz w:val="28"/>
      <w:lang w:val="en-GB"/>
    </w:rPr>
  </w:style>
  <w:style w:type="paragraph" w:customStyle="1" w:styleId="Affiliation">
    <w:name w:val="Affiliation"/>
    <w:basedOn w:val="Normal"/>
    <w:qFormat/>
    <w:rsid w:val="00F04900"/>
    <w:pPr>
      <w:spacing w:before="240" w:line="360" w:lineRule="auto"/>
    </w:pPr>
    <w:rPr>
      <w:i/>
      <w:lang w:val="en-GB"/>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lang w:val="en-GB"/>
    </w:rPr>
  </w:style>
  <w:style w:type="paragraph" w:customStyle="1" w:styleId="Keywords">
    <w:name w:val="Keywords"/>
    <w:basedOn w:val="Normal"/>
    <w:next w:val="Paragraph"/>
    <w:qFormat/>
    <w:rsid w:val="00BB1270"/>
    <w:pPr>
      <w:spacing w:before="240" w:after="240" w:line="360" w:lineRule="auto"/>
      <w:ind w:left="720" w:right="567"/>
    </w:pPr>
    <w:rPr>
      <w:sz w:val="22"/>
      <w:lang w:val="en-GB"/>
    </w:rPr>
  </w:style>
  <w:style w:type="paragraph" w:customStyle="1" w:styleId="Correspondencedetails">
    <w:name w:val="Correspondence details"/>
    <w:basedOn w:val="Normal"/>
    <w:qFormat/>
    <w:rsid w:val="00F04900"/>
    <w:pPr>
      <w:spacing w:before="240" w:line="360" w:lineRule="auto"/>
    </w:pPr>
    <w:rPr>
      <w:lang w:val="en-GB"/>
    </w:r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lang w:val="en-GB"/>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rPr>
      <w:lang w:val="en-GB"/>
    </w:rPr>
  </w:style>
  <w:style w:type="paragraph" w:customStyle="1" w:styleId="Acknowledgements">
    <w:name w:val="Acknowledgements"/>
    <w:basedOn w:val="Normal"/>
    <w:next w:val="Normal"/>
    <w:qFormat/>
    <w:rsid w:val="00D379A3"/>
    <w:pPr>
      <w:spacing w:before="120" w:line="360" w:lineRule="auto"/>
    </w:pPr>
    <w:rPr>
      <w:sz w:val="22"/>
      <w:lang w:val="en-GB"/>
    </w:rPr>
  </w:style>
  <w:style w:type="paragraph" w:customStyle="1" w:styleId="Tabletitle">
    <w:name w:val="Table title"/>
    <w:basedOn w:val="Normal"/>
    <w:next w:val="Normal"/>
    <w:qFormat/>
    <w:rsid w:val="0031686C"/>
    <w:pPr>
      <w:spacing w:before="240" w:line="360" w:lineRule="auto"/>
    </w:pPr>
    <w:rPr>
      <w:lang w:val="en-GB"/>
    </w:rPr>
  </w:style>
  <w:style w:type="paragraph" w:customStyle="1" w:styleId="Figurecaption">
    <w:name w:val="Figure caption"/>
    <w:basedOn w:val="Normal"/>
    <w:next w:val="Normal"/>
    <w:qFormat/>
    <w:rsid w:val="0031686C"/>
    <w:pPr>
      <w:spacing w:before="240" w:line="360" w:lineRule="auto"/>
    </w:pPr>
    <w:rPr>
      <w:lang w:val="en-GB"/>
    </w:rPr>
  </w:style>
  <w:style w:type="paragraph" w:customStyle="1" w:styleId="Footnotes">
    <w:name w:val="Footnotes"/>
    <w:basedOn w:val="Normal"/>
    <w:qFormat/>
    <w:rsid w:val="006C6936"/>
    <w:pPr>
      <w:spacing w:before="120" w:line="360" w:lineRule="auto"/>
      <w:ind w:left="482" w:hanging="482"/>
      <w:contextualSpacing/>
    </w:pPr>
    <w:rPr>
      <w:sz w:val="22"/>
      <w:lang w:val="en-GB"/>
    </w:rPr>
  </w:style>
  <w:style w:type="paragraph" w:customStyle="1" w:styleId="Notesoncontributors">
    <w:name w:val="Notes on contributors"/>
    <w:basedOn w:val="Normal"/>
    <w:qFormat/>
    <w:rsid w:val="00F04900"/>
    <w:pPr>
      <w:spacing w:before="240" w:line="360" w:lineRule="auto"/>
    </w:pPr>
    <w:rPr>
      <w:sz w:val="22"/>
      <w:lang w:val="en-GB"/>
    </w:rPr>
  </w:style>
  <w:style w:type="paragraph" w:customStyle="1" w:styleId="Normalparagraphstyle">
    <w:name w:val="Normal paragraph style"/>
    <w:basedOn w:val="Normal"/>
    <w:next w:val="Normal"/>
    <w:rsid w:val="00562DEF"/>
    <w:pPr>
      <w:spacing w:line="480" w:lineRule="auto"/>
    </w:pPr>
    <w:rPr>
      <w:lang w:val="en-GB"/>
    </w:rPr>
  </w:style>
  <w:style w:type="paragraph" w:customStyle="1" w:styleId="Paragraph">
    <w:name w:val="Paragraph"/>
    <w:basedOn w:val="Normal"/>
    <w:next w:val="Newparagraph"/>
    <w:qFormat/>
    <w:rsid w:val="001B7681"/>
    <w:pPr>
      <w:widowControl w:val="0"/>
      <w:spacing w:before="240" w:line="480" w:lineRule="auto"/>
    </w:pPr>
    <w:rPr>
      <w:lang w:val="en-GB"/>
    </w:rPr>
  </w:style>
  <w:style w:type="paragraph" w:customStyle="1" w:styleId="Newparagraph">
    <w:name w:val="New paragraph"/>
    <w:basedOn w:val="Normal"/>
    <w:qFormat/>
    <w:rsid w:val="00AE2F8D"/>
    <w:pPr>
      <w:spacing w:line="480" w:lineRule="auto"/>
      <w:ind w:firstLine="720"/>
    </w:pPr>
    <w:rPr>
      <w:lang w:val="en-GB"/>
    </w:rPr>
  </w:style>
  <w:style w:type="paragraph" w:styleId="NormalIndent">
    <w:name w:val="Normal Indent"/>
    <w:basedOn w:val="Normal"/>
    <w:rsid w:val="00526454"/>
    <w:pPr>
      <w:spacing w:line="480" w:lineRule="auto"/>
      <w:ind w:left="720"/>
    </w:pPr>
    <w:rPr>
      <w:lang w:val="en-GB"/>
    </w:rPr>
  </w:style>
  <w:style w:type="paragraph" w:customStyle="1" w:styleId="References">
    <w:name w:val="References"/>
    <w:basedOn w:val="Normal"/>
    <w:qFormat/>
    <w:rsid w:val="002C53EE"/>
    <w:pPr>
      <w:spacing w:before="120" w:line="360" w:lineRule="auto"/>
      <w:ind w:left="720" w:hanging="720"/>
      <w:contextualSpacing/>
    </w:pPr>
    <w:rPr>
      <w:lang w:val="en-GB"/>
    </w:r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lang w:val="en-GB"/>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lang w:val="en-GB"/>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rPr>
      <w:lang w:val="en-GB"/>
    </w:r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rPr>
      <w:lang w:val="en-GB"/>
    </w:r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lang w:val="en-GB"/>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lang w:val="en-GB"/>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ych.auckland.ac.nz/en/about/thematic-analys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784</TotalTime>
  <Pages>36</Pages>
  <Words>9511</Words>
  <Characters>54216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63600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18</cp:revision>
  <cp:lastPrinted>2011-07-22T14:54:00Z</cp:lastPrinted>
  <dcterms:created xsi:type="dcterms:W3CDTF">2020-11-16T10:26:00Z</dcterms:created>
  <dcterms:modified xsi:type="dcterms:W3CDTF">2020-11-24T16:21:00Z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