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2016;Valverde</w:t>
      </w:r>
      <w:proofErr w:type="gramEnd"/>
      <w:r w:rsidR="00316DBB">
        <w:t>-Berrocoso,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9863EC">
        <w:rPr>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i/>
          <w:iCs/>
          <w:lang w:eastAsia="da-DK"/>
        </w:rPr>
        <w:t>”</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7A5530F5" w:rsidR="007C12BF" w:rsidRDefault="000B2BF5" w:rsidP="007C12BF">
      <w:pPr>
        <w:pStyle w:val="Newparagraph"/>
        <w:rPr>
          <w:lang w:eastAsia="da-DK"/>
        </w:rPr>
      </w:pPr>
      <w:r>
        <w:rPr>
          <w:noProof/>
          <w:lang w:eastAsia="da-DK"/>
        </w:rPr>
        <w:lastRenderedPageBreak/>
        <w:drawing>
          <wp:inline distT="0" distB="0" distL="0" distR="0" wp14:anchorId="3144196C" wp14:editId="0BF415EE">
            <wp:extent cx="5396865" cy="570801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6865" cy="5708015"/>
                    </a:xfrm>
                    <a:prstGeom prst="rect">
                      <a:avLst/>
                    </a:prstGeom>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0B2BF5">
      <w:pPr>
        <w:pStyle w:val="Paragraph"/>
        <w:rPr>
          <w:lang w:eastAsia="da-DK"/>
        </w:rPr>
      </w:pPr>
      <w:r w:rsidRPr="003E7744">
        <w:rPr>
          <w:lang w:eastAsia="da-DK"/>
        </w:rPr>
        <w:t>Here, we report on our thematic network analysis (TNA) of theoretical excerpts</w:t>
      </w:r>
      <w:r>
        <w:rPr>
          <w:lang w:eastAsia="da-DK"/>
        </w:rPr>
        <w:t>. W</w:t>
      </w:r>
      <w:r w:rsidRPr="003E7744">
        <w:rPr>
          <w:lang w:eastAsia="da-DK"/>
        </w:rPr>
        <w:t xml:space="preserve">e present our final thematic </w:t>
      </w:r>
      <w:r>
        <w:rPr>
          <w:lang w:eastAsia="da-DK"/>
        </w:rPr>
        <w:t xml:space="preserve">network </w:t>
      </w:r>
      <w:r w:rsidRPr="003E7744">
        <w:rPr>
          <w:lang w:eastAsia="da-DK"/>
        </w:rPr>
        <w:t>map and then elaborate on themes shown in the map and their connections</w:t>
      </w:r>
      <w:r w:rsidR="00353EBE" w:rsidRPr="00353EBE">
        <w:rPr>
          <w:lang w:val="en-US" w:eastAsia="da-DK"/>
        </w:rPr>
        <w:t>, in</w:t>
      </w:r>
      <w:r w:rsidR="00353EBE">
        <w:rPr>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lastRenderedPageBreak/>
        <w:t>(Figure 3).</w:t>
      </w:r>
      <w:r w:rsidRPr="003E7744">
        <w:rPr>
          <w:lang w:eastAsia="da-DK"/>
        </w:rPr>
        <w:t>  </w:t>
      </w:r>
    </w:p>
    <w:p w14:paraId="4E965BAE" w14:textId="6ADB5949" w:rsidR="00EA145F" w:rsidRPr="003E7744" w:rsidRDefault="000B2BF5" w:rsidP="00EA145F">
      <w:pPr>
        <w:spacing w:line="360" w:lineRule="auto"/>
        <w:jc w:val="both"/>
        <w:rPr>
          <w:lang w:eastAsia="da-DK"/>
        </w:rPr>
      </w:pPr>
      <w:r>
        <w:rPr>
          <w:noProof/>
          <w:lang w:eastAsia="da-DK"/>
        </w:rPr>
        <w:drawing>
          <wp:inline distT="0" distB="0" distL="0" distR="0" wp14:anchorId="7BFD469E" wp14:editId="71856776">
            <wp:extent cx="5396865" cy="43630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75CA8807" w:rsidR="00D033AC" w:rsidRDefault="00D033AC" w:rsidP="00D033AC">
      <w:pPr>
        <w:pStyle w:val="Newparagraph"/>
        <w:numPr>
          <w:ilvl w:val="0"/>
          <w:numId w:val="35"/>
        </w:numPr>
        <w:rPr>
          <w:lang w:eastAsia="da-DK"/>
        </w:rPr>
      </w:pPr>
      <w:r w:rsidRPr="003E7744">
        <w:rPr>
          <w:lang w:eastAsia="da-DK"/>
        </w:rPr>
        <w:t>The orange-coloured themes comprise the themes: Instruction</w:t>
      </w:r>
      <w:r w:rsidR="000B2BF5">
        <w:rPr>
          <w:lang w:eastAsia="da-DK"/>
        </w:rPr>
        <w:t>al</w:t>
      </w:r>
      <w:r w:rsidRPr="003E7744">
        <w:rPr>
          <w:lang w:eastAsia="da-DK"/>
        </w:rPr>
        <w:t xml:space="preserve"> models and evidence, </w:t>
      </w:r>
      <w:r w:rsidR="000B2BF5">
        <w:rPr>
          <w:lang w:eastAsia="da-DK"/>
        </w:rPr>
        <w:t>Agency of children during inquiry</w:t>
      </w:r>
      <w:r w:rsidRPr="003E7744">
        <w:rPr>
          <w:lang w:eastAsia="da-DK"/>
        </w:rPr>
        <w:t xml:space="preserve">, Open-ended investigation, Previous and new knowledge, Inquiry not linear, </w:t>
      </w:r>
      <w:r w:rsidR="00487605">
        <w:rPr>
          <w:lang w:eastAsia="da-DK"/>
        </w:rPr>
        <w:t>Scientific practices</w:t>
      </w:r>
      <w:r w:rsidRPr="003E7744">
        <w:rPr>
          <w:lang w:eastAsia="da-DK"/>
        </w:rPr>
        <w:t xml:space="preserve">, Hands-on authentic experiences, </w:t>
      </w:r>
      <w:r w:rsidR="000B2BF5">
        <w:rPr>
          <w:lang w:eastAsia="da-DK"/>
        </w:rPr>
        <w:t>Educational/Policy context</w:t>
      </w:r>
      <w:r w:rsidRPr="003E7744">
        <w:rPr>
          <w:lang w:eastAsia="da-DK"/>
        </w:rPr>
        <w:t xml:space="preserve">, and Influences of mental function. As we will argue below, this overarching theme seems to capture a group of theoretical descriptions of inquiry that aims at modelling science </w:t>
      </w:r>
      <w:r w:rsidRPr="003E7744">
        <w:rPr>
          <w:lang w:eastAsia="da-DK"/>
        </w:rPr>
        <w:lastRenderedPageBreak/>
        <w:t xml:space="preserve">education practice through a phase-driven instructional model. </w:t>
      </w:r>
      <w:r w:rsidR="00EC189A">
        <w:rPr>
          <w:lang w:eastAsia="da-DK"/>
        </w:rPr>
        <w:t>W</w:t>
      </w:r>
      <w:r w:rsidRPr="003E7744">
        <w:rPr>
          <w:lang w:eastAsia="da-DK"/>
        </w:rPr>
        <w:t>e have named th</w:t>
      </w:r>
      <w:r w:rsidR="00EC189A">
        <w:rPr>
          <w:lang w:eastAsia="da-DK"/>
        </w:rPr>
        <w:t>is</w:t>
      </w:r>
      <w:r w:rsidRPr="003E7744">
        <w:rPr>
          <w:lang w:eastAsia="da-DK"/>
        </w:rPr>
        <w:t xml:space="preserve"> </w:t>
      </w:r>
      <w:r w:rsidR="00EC189A">
        <w:rPr>
          <w:lang w:eastAsia="da-DK"/>
        </w:rPr>
        <w:t>overarching theme</w:t>
      </w:r>
      <w:r w:rsidRPr="003E7744">
        <w:rPr>
          <w:lang w:eastAsia="da-DK"/>
        </w:rPr>
        <w:t xml:space="preserve">: </w:t>
      </w:r>
      <w:r w:rsidRPr="004E2D11">
        <w:rPr>
          <w:i/>
          <w:iCs/>
          <w:u w:val="single"/>
          <w:lang w:eastAsia="da-DK"/>
        </w:rPr>
        <w:t>Modelling scientific practice</w:t>
      </w:r>
      <w:r w:rsidRPr="003E7744">
        <w:rPr>
          <w:u w:val="single"/>
          <w:lang w:eastAsia="da-DK"/>
        </w:rPr>
        <w:t>.</w:t>
      </w:r>
      <w:r w:rsidRPr="003E7744">
        <w:rPr>
          <w:lang w:eastAsia="da-DK"/>
        </w:rPr>
        <w:t> </w:t>
      </w:r>
    </w:p>
    <w:p w14:paraId="3A5B88AA" w14:textId="1F74C97C"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w:t>
      </w:r>
      <w:r w:rsidR="00EC189A">
        <w:rPr>
          <w:lang w:eastAsia="da-DK"/>
        </w:rPr>
        <w:t xml:space="preserve">highlight a position, which places emphasis on the ability to solve problems by using process skills and being able to share with others. Interestingly, these elements are very often part understandings of </w:t>
      </w:r>
      <w:r w:rsidRPr="003E7744">
        <w:rPr>
          <w:lang w:eastAsia="da-DK"/>
        </w:rPr>
        <w:t>competencies</w:t>
      </w:r>
      <w:r w:rsidR="00EC189A">
        <w:rPr>
          <w:lang w:eastAsia="da-DK"/>
        </w:rPr>
        <w:t xml:space="preserve"> as they appear in science education literature (see </w:t>
      </w:r>
      <w:proofErr w:type="gramStart"/>
      <w:r w:rsidR="00EC189A">
        <w:rPr>
          <w:lang w:eastAsia="da-DK"/>
        </w:rPr>
        <w:t>e</w:t>
      </w:r>
      <w:r w:rsidR="000B2BF5">
        <w:rPr>
          <w:lang w:eastAsia="da-DK"/>
        </w:rPr>
        <w:t>.</w:t>
      </w:r>
      <w:r w:rsidR="00EC189A">
        <w:rPr>
          <w:lang w:eastAsia="da-DK"/>
        </w:rPr>
        <w:t>g.</w:t>
      </w:r>
      <w:proofErr w:type="gramEnd"/>
      <w:r w:rsidR="00EC189A">
        <w:rPr>
          <w:lang w:eastAsia="da-DK"/>
        </w:rPr>
        <w:t xml:space="preserve"> </w:t>
      </w:r>
      <w:proofErr w:type="spellStart"/>
      <w:r w:rsidR="00EC189A">
        <w:rPr>
          <w:lang w:eastAsia="da-DK"/>
        </w:rPr>
        <w:t>Ropohl</w:t>
      </w:r>
      <w:proofErr w:type="spellEnd"/>
      <w:r w:rsidR="00DD73DD">
        <w:rPr>
          <w:lang w:eastAsia="da-DK"/>
        </w:rPr>
        <w:t xml:space="preserve">, </w:t>
      </w:r>
      <w:r w:rsidR="000E1A32">
        <w:rPr>
          <w:lang w:eastAsia="da-DK"/>
        </w:rPr>
        <w:t xml:space="preserve">Nielsen, </w:t>
      </w:r>
      <w:proofErr w:type="spellStart"/>
      <w:r w:rsidR="000E1A32">
        <w:rPr>
          <w:lang w:eastAsia="da-DK"/>
        </w:rPr>
        <w:t>Olley</w:t>
      </w:r>
      <w:proofErr w:type="spellEnd"/>
      <w:r w:rsidR="000E1A32">
        <w:rPr>
          <w:lang w:eastAsia="da-DK"/>
        </w:rPr>
        <w:t xml:space="preserve">, </w:t>
      </w:r>
      <w:proofErr w:type="spellStart"/>
      <w:r w:rsidR="000E1A32">
        <w:rPr>
          <w:lang w:eastAsia="da-DK"/>
        </w:rPr>
        <w:t>Rönnebeck</w:t>
      </w:r>
      <w:proofErr w:type="spellEnd"/>
      <w:r w:rsidR="000E1A32">
        <w:rPr>
          <w:lang w:eastAsia="da-DK"/>
        </w:rPr>
        <w:t>, &amp; Stables</w:t>
      </w:r>
      <w:r w:rsidR="00EC189A">
        <w:rPr>
          <w:lang w:eastAsia="da-DK"/>
        </w:rPr>
        <w:t>, 2018, p. 10). However, competencies in this understanding involve both knowing and doing, individually and with others. Thus, the elements of competencies which we can see only partially covers the concept of competencies in science education, so we have named the corresponding</w:t>
      </w:r>
      <w:r w:rsidRPr="003E7744">
        <w:rPr>
          <w:lang w:eastAsia="da-DK"/>
        </w:rPr>
        <w:t xml:space="preserve"> </w:t>
      </w:r>
      <w:r w:rsidR="003A34BA">
        <w:rPr>
          <w:lang w:eastAsia="da-DK"/>
        </w:rPr>
        <w:t>overarching theme</w:t>
      </w:r>
      <w:r w:rsidR="00EC189A">
        <w:rPr>
          <w:lang w:eastAsia="da-DK"/>
        </w:rPr>
        <w:t>:</w:t>
      </w:r>
      <w:r w:rsidRPr="003E7744">
        <w:rPr>
          <w:lang w:eastAsia="da-DK"/>
        </w:rPr>
        <w:t xml:space="preserve"> </w:t>
      </w:r>
      <w:r w:rsidRPr="003E7744">
        <w:rPr>
          <w:i/>
          <w:iCs/>
          <w:u w:val="single"/>
          <w:lang w:eastAsia="da-DK"/>
        </w:rPr>
        <w:t>Developing competencies</w:t>
      </w:r>
      <w:r w:rsidR="00EC189A">
        <w:rPr>
          <w:lang w:eastAsia="da-DK"/>
        </w:rPr>
        <w:t xml:space="preserve">. </w:t>
      </w:r>
    </w:p>
    <w:p w14:paraId="51DC2F46" w14:textId="0C5A75A7"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w:t>
      </w:r>
      <w:r w:rsidR="003A34BA">
        <w:rPr>
          <w:u w:val="single"/>
          <w:lang w:eastAsia="da-DK"/>
        </w:rPr>
        <w:t>/</w:t>
      </w:r>
      <w:r w:rsidRPr="003E7744">
        <w:rPr>
          <w:u w:val="single"/>
          <w:lang w:eastAsia="da-DK"/>
        </w:rPr>
        <w:t>experience.</w:t>
      </w:r>
    </w:p>
    <w:p w14:paraId="2D56BEBE" w14:textId="39AC7F82"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00CA004D">
        <w:rPr>
          <w:lang w:eastAsia="da-DK"/>
        </w:rPr>
        <w:t xml:space="preserve"> with </w:t>
      </w:r>
      <w:r w:rsidR="00D033AC" w:rsidRPr="003E7744">
        <w:rPr>
          <w:lang w:eastAsia="da-DK"/>
        </w:rPr>
        <w:t xml:space="preserve">overarching themes </w:t>
      </w:r>
      <w:r w:rsidR="00CA004D">
        <w:rPr>
          <w:lang w:eastAsia="da-DK"/>
        </w:rPr>
        <w:t>in</w:t>
      </w:r>
      <w:r w:rsidR="00D033AC" w:rsidRPr="003E7744">
        <w:rPr>
          <w:lang w:eastAsia="da-DK"/>
        </w:rPr>
        <w:t xml:space="preserve"> </w:t>
      </w:r>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32E72A33"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 xml:space="preserve">Modelling scientific </w:t>
      </w:r>
      <w:r w:rsidRPr="004E2D11">
        <w:rPr>
          <w:u w:val="single"/>
          <w:lang w:eastAsia="da-DK"/>
        </w:rPr>
        <w:t>practice</w:t>
      </w:r>
      <w:r w:rsidR="004E2D11">
        <w:rPr>
          <w:lang w:eastAsia="da-DK"/>
        </w:rPr>
        <w:t xml:space="preserve"> </w:t>
      </w:r>
      <w:r w:rsidRPr="004E2D11">
        <w:rPr>
          <w:lang w:eastAsia="da-DK"/>
        </w:rPr>
        <w:t>position</w:t>
      </w:r>
    </w:p>
    <w:p w14:paraId="6D0787BE" w14:textId="62BE1D7B"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w:t>
      </w:r>
      <w:r w:rsidR="00487605">
        <w:rPr>
          <w:i/>
          <w:iCs/>
          <w:lang w:eastAsia="da-DK"/>
        </w:rPr>
        <w:t>al</w:t>
      </w:r>
      <w:r w:rsidRPr="003E7744">
        <w:rPr>
          <w:i/>
          <w:iCs/>
          <w:lang w:eastAsia="da-DK"/>
        </w:rPr>
        <w:t xml:space="preserve">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w:t>
      </w:r>
      <w:r w:rsidR="00487605">
        <w:rPr>
          <w:i/>
          <w:iCs/>
          <w:lang w:eastAsia="da-DK"/>
        </w:rPr>
        <w:t>Scientific practices</w:t>
      </w:r>
      <w:r w:rsidRPr="003E7744">
        <w:rPr>
          <w:i/>
          <w:iCs/>
          <w:lang w:eastAsia="da-DK"/>
        </w:rPr>
        <w:t xml:space="preserve">,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w:t>
      </w:r>
      <w:r w:rsidR="006914A7">
        <w:rPr>
          <w:lang w:eastAsia="da-DK"/>
        </w:rPr>
        <w:t xml:space="preserve"> d</w:t>
      </w:r>
      <w:r w:rsidRPr="003E7744">
        <w:rPr>
          <w:lang w:eastAsia="da-DK"/>
        </w:rPr>
        <w:t>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4160EB" w14:textId="06D77BD8" w:rsidR="00487605" w:rsidRDefault="006914A7" w:rsidP="00487605">
      <w:pPr>
        <w:pStyle w:val="Paragraph"/>
        <w:rPr>
          <w:lang w:eastAsia="da-DK"/>
        </w:rPr>
      </w:pPr>
      <w:r>
        <w:rPr>
          <w:lang w:eastAsia="da-DK"/>
        </w:rPr>
        <w:t xml:space="preserve">Many studies make use of phase-driven </w:t>
      </w:r>
      <w:r w:rsidR="00EA145F" w:rsidRPr="003E7744">
        <w:rPr>
          <w:lang w:eastAsia="da-DK"/>
        </w:rPr>
        <w:t>instruction</w:t>
      </w:r>
      <w:r>
        <w:rPr>
          <w:lang w:eastAsia="da-DK"/>
        </w:rPr>
        <w:t xml:space="preserve">al models adapted to ECIBSE-contexts. </w:t>
      </w:r>
      <w:r w:rsidR="00EA145F" w:rsidRPr="003E7744">
        <w:rPr>
          <w:lang w:eastAsia="da-DK"/>
        </w:rPr>
        <w:t xml:space="preserve"> For example, </w:t>
      </w:r>
      <w:proofErr w:type="spellStart"/>
      <w:r w:rsidR="00EA145F" w:rsidRPr="003E7744">
        <w:rPr>
          <w:lang w:eastAsia="da-DK"/>
        </w:rPr>
        <w:t>Desouza</w:t>
      </w:r>
      <w:proofErr w:type="spellEnd"/>
      <w:r w:rsidR="00EA145F" w:rsidRPr="003E7744">
        <w:rPr>
          <w:lang w:eastAsia="da-DK"/>
        </w:rPr>
        <w:t xml:space="preserve"> (2017) modifies </w:t>
      </w:r>
      <w:r w:rsidR="00EA145F">
        <w:rPr>
          <w:lang w:eastAsia="da-DK"/>
        </w:rPr>
        <w:t xml:space="preserve">the 5E model by </w:t>
      </w:r>
      <w:r w:rsidR="00EA145F" w:rsidRPr="003E7744">
        <w:rPr>
          <w:lang w:eastAsia="da-DK"/>
        </w:rPr>
        <w:t>Bybee et al</w:t>
      </w:r>
      <w:r w:rsidR="00EA145F">
        <w:rPr>
          <w:lang w:eastAsia="da-DK"/>
        </w:rPr>
        <w:t>.</w:t>
      </w:r>
      <w:r w:rsidR="00EA145F" w:rsidRPr="003E7744">
        <w:rPr>
          <w:lang w:eastAsia="da-DK"/>
        </w:rPr>
        <w:t xml:space="preserve"> (2006)</w:t>
      </w:r>
      <w:r>
        <w:rPr>
          <w:lang w:eastAsia="da-DK"/>
        </w:rPr>
        <w:t xml:space="preserve"> to be suitable for </w:t>
      </w:r>
      <w:r w:rsidR="00487605">
        <w:rPr>
          <w:lang w:eastAsia="da-DK"/>
        </w:rPr>
        <w:t>E</w:t>
      </w:r>
      <w:r>
        <w:rPr>
          <w:lang w:eastAsia="da-DK"/>
        </w:rPr>
        <w:t>CEIBSE</w:t>
      </w:r>
      <w:r w:rsidR="00EA145F" w:rsidRPr="003E7744">
        <w:rPr>
          <w:lang w:eastAsia="da-DK"/>
        </w:rPr>
        <w:t>.</w:t>
      </w:r>
      <w:r w:rsidR="00EA145F" w:rsidRPr="003E7744">
        <w:rPr>
          <w:i/>
          <w:iCs/>
          <w:lang w:eastAsia="da-DK"/>
        </w:rPr>
        <w:t xml:space="preserve"> </w:t>
      </w:r>
      <w:r>
        <w:rPr>
          <w:lang w:eastAsia="da-DK"/>
        </w:rPr>
        <w:t>Phase-driven i</w:t>
      </w:r>
      <w:r w:rsidR="00EA145F" w:rsidRPr="003E7744">
        <w:rPr>
          <w:lang w:eastAsia="da-DK"/>
        </w:rPr>
        <w:t>nstruction</w:t>
      </w:r>
      <w:r>
        <w:rPr>
          <w:lang w:eastAsia="da-DK"/>
        </w:rPr>
        <w:t>al</w:t>
      </w:r>
      <w:r w:rsidR="00EA145F" w:rsidRPr="003E7744">
        <w:rPr>
          <w:lang w:eastAsia="da-DK"/>
        </w:rPr>
        <w:t xml:space="preserve"> models </w:t>
      </w:r>
      <w:r>
        <w:rPr>
          <w:lang w:eastAsia="da-DK"/>
        </w:rPr>
        <w:t xml:space="preserve">are implemented to </w:t>
      </w:r>
      <w:r w:rsidR="00487605">
        <w:rPr>
          <w:lang w:eastAsia="da-DK"/>
        </w:rPr>
        <w:t xml:space="preserve">help model scientific practice, </w:t>
      </w:r>
      <w:r w:rsidR="00EA145F" w:rsidRPr="003E7744">
        <w:rPr>
          <w:lang w:eastAsia="da-DK"/>
        </w:rPr>
        <w:t xml:space="preserve">and </w:t>
      </w:r>
      <w:r w:rsidR="00487605">
        <w:rPr>
          <w:lang w:eastAsia="da-DK"/>
        </w:rPr>
        <w:t xml:space="preserve">they </w:t>
      </w:r>
      <w:r w:rsidR="00EA145F" w:rsidRPr="003E7744">
        <w:rPr>
          <w:lang w:eastAsia="da-DK"/>
        </w:rPr>
        <w:t>act as a pedagogical structure to underpin planning of science activities.</w:t>
      </w:r>
    </w:p>
    <w:p w14:paraId="03E3A832" w14:textId="760AE99B" w:rsidR="00487605" w:rsidRDefault="00EA145F" w:rsidP="00487605">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r w:rsidR="00487605" w:rsidRPr="003E7744">
        <w:rPr>
          <w:lang w:eastAsia="da-DK"/>
        </w:rPr>
        <w:t>pre-schoolers</w:t>
      </w:r>
      <w:r w:rsidRPr="003E7744">
        <w:rPr>
          <w:lang w:eastAsia="da-DK"/>
        </w:rPr>
        <w:t xml:space="preserve"> do with what adults would do.  </w:t>
      </w:r>
    </w:p>
    <w:p w14:paraId="09B250A4" w14:textId="1B360ED4" w:rsidR="009A4234" w:rsidRDefault="00EA145F" w:rsidP="00487605">
      <w:pPr>
        <w:pStyle w:val="Newparagraph"/>
        <w:rPr>
          <w:lang w:eastAsia="da-DK"/>
        </w:rPr>
      </w:pPr>
      <w:r w:rsidRPr="003E7744">
        <w:rPr>
          <w:i/>
          <w:iCs/>
          <w:lang w:eastAsia="da-DK"/>
        </w:rPr>
        <w:lastRenderedPageBreak/>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487605">
      <w:pPr>
        <w:pStyle w:val="Newparagraph"/>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487605">
      <w:pPr>
        <w:pStyle w:val="Newparagraph"/>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487605">
      <w:pPr>
        <w:pStyle w:val="Newparagraph"/>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694AA8FD" w:rsidR="00EA145F" w:rsidRDefault="00EA145F" w:rsidP="00EA145F">
      <w:pPr>
        <w:pStyle w:val="Heading2"/>
        <w:rPr>
          <w:lang w:eastAsia="da-DK"/>
        </w:rPr>
      </w:pPr>
      <w:r w:rsidRPr="003E7744">
        <w:rPr>
          <w:lang w:eastAsia="da-DK"/>
        </w:rPr>
        <w:t xml:space="preserve">The </w:t>
      </w:r>
      <w:r w:rsidRPr="00EA145F">
        <w:rPr>
          <w:u w:val="single"/>
          <w:lang w:eastAsia="da-DK"/>
        </w:rPr>
        <w:t>Developing competencies</w:t>
      </w:r>
      <w:r w:rsidRPr="003E7744">
        <w:rPr>
          <w:lang w:eastAsia="da-DK"/>
        </w:rPr>
        <w:t xml:space="preserve"> position</w:t>
      </w:r>
    </w:p>
    <w:p w14:paraId="41D6DE16" w14:textId="537A301F" w:rsidR="00EB7566"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w:t>
      </w:r>
      <w:r w:rsidR="002D7E5F">
        <w:rPr>
          <w:lang w:eastAsia="da-DK"/>
        </w:rPr>
        <w:t>I</w:t>
      </w:r>
      <w:r w:rsidR="00EB7566">
        <w:rPr>
          <w:lang w:eastAsia="da-DK"/>
        </w:rPr>
        <w:t>n science education, most definitions</w:t>
      </w:r>
      <w:r w:rsidR="002D7E5F">
        <w:rPr>
          <w:lang w:eastAsia="da-DK"/>
        </w:rPr>
        <w:t xml:space="preserve"> of competence</w:t>
      </w:r>
      <w:r w:rsidR="00EB7566">
        <w:rPr>
          <w:lang w:eastAsia="da-DK"/>
        </w:rPr>
        <w:t xml:space="preserve"> involve knowledge and skills, and the ability to use this in complex situations (</w:t>
      </w:r>
      <w:proofErr w:type="spellStart"/>
      <w:r w:rsidR="00EB7566">
        <w:rPr>
          <w:lang w:eastAsia="da-DK"/>
        </w:rPr>
        <w:t>Ropohl</w:t>
      </w:r>
      <w:proofErr w:type="spellEnd"/>
      <w:r w:rsidR="00EB7566">
        <w:rPr>
          <w:lang w:eastAsia="da-DK"/>
        </w:rPr>
        <w:t xml:space="preserve"> et al 2018). In addition to this, our understanding of competence also includes affective terms</w:t>
      </w:r>
      <w:r w:rsidR="00794D6D">
        <w:rPr>
          <w:lang w:eastAsia="da-DK"/>
        </w:rPr>
        <w:t xml:space="preserve"> (such as curiosity and the will to act)</w:t>
      </w:r>
      <w:r w:rsidR="00EB7566">
        <w:rPr>
          <w:lang w:eastAsia="da-DK"/>
        </w:rPr>
        <w:t xml:space="preserve">, collaboration, and participation in relevant decision-making processes </w:t>
      </w:r>
      <w:r w:rsidR="00F94DD3">
        <w:rPr>
          <w:lang w:eastAsia="da-DK"/>
        </w:rPr>
        <w:t>(</w:t>
      </w:r>
      <w:r w:rsidR="00EB7566">
        <w:rPr>
          <w:lang w:eastAsia="da-DK"/>
        </w:rPr>
        <w:t>AUTHORS 2012</w:t>
      </w:r>
      <w:r w:rsidR="00F94DD3">
        <w:rPr>
          <w:lang w:eastAsia="da-DK"/>
        </w:rPr>
        <w:t xml:space="preserve">, </w:t>
      </w:r>
      <w:proofErr w:type="spellStart"/>
      <w:r w:rsidR="00F94DD3">
        <w:rPr>
          <w:lang w:eastAsia="da-DK"/>
        </w:rPr>
        <w:t>Ropohl</w:t>
      </w:r>
      <w:proofErr w:type="spellEnd"/>
      <w:r w:rsidR="00F94DD3">
        <w:rPr>
          <w:lang w:eastAsia="da-DK"/>
        </w:rPr>
        <w:t xml:space="preserve"> et al. 2018</w:t>
      </w:r>
      <w:r w:rsidR="00EB7566">
        <w:rPr>
          <w:lang w:eastAsia="da-DK"/>
        </w:rPr>
        <w:t>).  Note that this understanding of</w:t>
      </w:r>
      <w:r w:rsidRPr="003E7744">
        <w:rPr>
          <w:lang w:eastAsia="da-DK"/>
        </w:rPr>
        <w:t xml:space="preserve"> competencies </w:t>
      </w:r>
      <w:r w:rsidR="00EB7566">
        <w:rPr>
          <w:lang w:eastAsia="da-DK"/>
        </w:rPr>
        <w:t xml:space="preserve">may have a much broader scope than </w:t>
      </w:r>
      <w:r w:rsidR="00794D6D">
        <w:rPr>
          <w:lang w:eastAsia="da-DK"/>
        </w:rPr>
        <w:t>science</w:t>
      </w:r>
      <w:r w:rsidRPr="003E7744">
        <w:rPr>
          <w:lang w:eastAsia="da-DK"/>
        </w:rPr>
        <w:t>. </w:t>
      </w:r>
    </w:p>
    <w:p w14:paraId="28D4CF51" w14:textId="14CBFEA4" w:rsidR="00EB7566" w:rsidRDefault="00EA145F" w:rsidP="00EB7566">
      <w:pPr>
        <w:pStyle w:val="Paragraph"/>
        <w:ind w:firstLine="720"/>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w:t>
      </w:r>
      <w:r w:rsidR="00EB7566">
        <w:rPr>
          <w:lang w:eastAsia="da-DK"/>
        </w:rPr>
        <w:t xml:space="preserve">may </w:t>
      </w:r>
      <w:r w:rsidRPr="003E7744">
        <w:rPr>
          <w:lang w:eastAsia="da-DK"/>
        </w:rPr>
        <w:t>refer to ways by which to learn and experiment; in iterative cycles, in which skills are gradually learned</w:t>
      </w:r>
      <w:r w:rsidR="00EB7566">
        <w:rPr>
          <w:lang w:eastAsia="da-DK"/>
        </w:rPr>
        <w:t xml:space="preserve">. </w:t>
      </w:r>
      <w:r w:rsidR="0006243E">
        <w:rPr>
          <w:lang w:eastAsia="da-DK"/>
        </w:rPr>
        <w:t xml:space="preserve">Process skills </w:t>
      </w:r>
      <w:r w:rsidR="00EB7566">
        <w:rPr>
          <w:lang w:eastAsia="da-DK"/>
        </w:rPr>
        <w:t xml:space="preserve">may also refer to the skills that need to be developed in order to </w:t>
      </w:r>
      <w:r w:rsidR="0006243E">
        <w:rPr>
          <w:lang w:eastAsia="da-DK"/>
        </w:rPr>
        <w:t xml:space="preserve">engage in science-like practices (e.g., Bell &amp; </w:t>
      </w:r>
      <w:proofErr w:type="spellStart"/>
      <w:proofErr w:type="gramStart"/>
      <w:r w:rsidR="0006243E">
        <w:rPr>
          <w:lang w:eastAsia="da-DK"/>
        </w:rPr>
        <w:t>St.Clair</w:t>
      </w:r>
      <w:proofErr w:type="spellEnd"/>
      <w:proofErr w:type="gramEnd"/>
      <w:r w:rsidR="0006243E">
        <w:rPr>
          <w:lang w:eastAsia="da-DK"/>
        </w:rPr>
        <w:t xml:space="preserve"> 2015). </w:t>
      </w:r>
      <w:r w:rsidR="0006243E">
        <w:rPr>
          <w:lang w:eastAsia="da-DK"/>
        </w:rPr>
        <w:tab/>
      </w:r>
    </w:p>
    <w:p w14:paraId="36FC5BB2" w14:textId="77777777" w:rsidR="00773B22" w:rsidRDefault="00EA145F" w:rsidP="00EB7566">
      <w:pPr>
        <w:pStyle w:val="Paragraph"/>
        <w:ind w:firstLine="720"/>
        <w:rPr>
          <w:lang w:eastAsia="da-DK"/>
        </w:rPr>
      </w:pPr>
      <w:r w:rsidRPr="00EB7566">
        <w:rPr>
          <w:i/>
          <w:iCs/>
          <w:lang w:eastAsia="da-DK"/>
        </w:rPr>
        <w:t>Problem solving</w:t>
      </w:r>
      <w:r w:rsidRPr="003E7744">
        <w:rPr>
          <w:lang w:eastAsia="da-DK"/>
        </w:rPr>
        <w:t xml:space="preserve">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w:t>
      </w:r>
      <w:r w:rsidR="00EB7566">
        <w:rPr>
          <w:lang w:eastAsia="da-DK"/>
        </w:rPr>
        <w:t>often</w:t>
      </w:r>
      <w:r w:rsidRPr="003E7744">
        <w:rPr>
          <w:lang w:eastAsia="da-DK"/>
        </w:rPr>
        <w:t xml:space="preserve">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3C5000C7" w14:textId="53BDC0D2" w:rsidR="00EA145F" w:rsidRDefault="00773B22" w:rsidP="00773B22">
      <w:pPr>
        <w:pStyle w:val="Paragraph"/>
        <w:ind w:firstLine="720"/>
        <w:rPr>
          <w:lang w:eastAsia="da-DK"/>
        </w:rPr>
      </w:pPr>
      <w:r w:rsidRPr="00773B22">
        <w:rPr>
          <w:i/>
          <w:iCs/>
          <w:lang w:eastAsia="da-DK"/>
        </w:rPr>
        <w:t>Sharing products with others</w:t>
      </w:r>
      <w:r>
        <w:rPr>
          <w:i/>
          <w:iCs/>
          <w:lang w:eastAsia="da-DK"/>
        </w:rPr>
        <w:t xml:space="preserve"> </w:t>
      </w:r>
      <w:r>
        <w:rPr>
          <w:lang w:eastAsia="da-DK"/>
        </w:rPr>
        <w:t xml:space="preserve">is a small but central theme. </w:t>
      </w:r>
      <w:r w:rsidR="00EA145F" w:rsidRPr="003E7744">
        <w:rPr>
          <w:lang w:eastAsia="da-DK"/>
        </w:rPr>
        <w:t>In early childhood, it can be a challenge for teachers to facilitate sharing, “since early childhood students are [just] beginning to build early literacy skills” (</w:t>
      </w:r>
      <w:proofErr w:type="spellStart"/>
      <w:r w:rsidR="00EA145F" w:rsidRPr="003E7744">
        <w:rPr>
          <w:lang w:eastAsia="da-DK"/>
        </w:rPr>
        <w:t>Eckhoff</w:t>
      </w:r>
      <w:proofErr w:type="spellEnd"/>
      <w:r w:rsidR="00EA145F">
        <w:rPr>
          <w:lang w:eastAsia="da-DK"/>
        </w:rPr>
        <w:t>,</w:t>
      </w:r>
      <w:r w:rsidR="00EA145F" w:rsidRPr="003E7744">
        <w:rPr>
          <w:lang w:eastAsia="da-DK"/>
        </w:rPr>
        <w:t xml:space="preserve"> 2017, p. 220).</w:t>
      </w:r>
      <w:r>
        <w:rPr>
          <w:lang w:eastAsia="da-DK"/>
        </w:rPr>
        <w:t xml:space="preserve"> </w:t>
      </w:r>
      <w:r w:rsidR="00EA145F" w:rsidRPr="00773B22">
        <w:t>We</w:t>
      </w:r>
      <w:r w:rsidR="00EA145F" w:rsidRPr="003E7744">
        <w:rPr>
          <w:lang w:eastAsia="da-DK"/>
        </w:rPr>
        <w:t xml:space="preserve"> believe that this </w:t>
      </w:r>
      <w:r>
        <w:rPr>
          <w:lang w:eastAsia="da-DK"/>
        </w:rPr>
        <w:t>theme represents</w:t>
      </w:r>
      <w:r w:rsidR="00EA145F" w:rsidRPr="003E7744">
        <w:rPr>
          <w:lang w:eastAsia="da-DK"/>
        </w:rPr>
        <w:t xml:space="preserve"> an important </w:t>
      </w:r>
      <w:r>
        <w:rPr>
          <w:lang w:eastAsia="da-DK"/>
        </w:rPr>
        <w:t>bridge</w:t>
      </w:r>
      <w:r w:rsidR="00EA145F" w:rsidRPr="003E7744">
        <w:rPr>
          <w:lang w:eastAsia="da-DK"/>
        </w:rPr>
        <w:t xml:space="preserve">, since it is important to focus on the child’s ability to even participate in the processes of inquiry as part of </w:t>
      </w:r>
      <w:r w:rsidR="00EA145F" w:rsidRPr="003E7744">
        <w:rPr>
          <w:i/>
          <w:iCs/>
          <w:u w:val="single"/>
          <w:lang w:eastAsia="da-DK"/>
        </w:rPr>
        <w:t>Developing competencies</w:t>
      </w:r>
      <w:r w:rsidR="00EA145F"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27C2E35E" w:rsidR="00EA145F" w:rsidRDefault="00EA145F" w:rsidP="00EA145F">
      <w:pPr>
        <w:pStyle w:val="Heading2"/>
        <w:rPr>
          <w:lang w:eastAsia="da-DK"/>
        </w:rPr>
      </w:pPr>
      <w:r w:rsidRPr="003E7744">
        <w:rPr>
          <w:lang w:eastAsia="da-DK"/>
        </w:rPr>
        <w:t xml:space="preserve">The </w:t>
      </w:r>
      <w:r w:rsidRPr="00EA145F">
        <w:rPr>
          <w:u w:val="single"/>
          <w:lang w:eastAsia="da-DK"/>
        </w:rPr>
        <w:t>Child exploration</w:t>
      </w:r>
      <w:r w:rsidR="00773B22">
        <w:rPr>
          <w:u w:val="single"/>
          <w:lang w:eastAsia="da-DK"/>
        </w:rPr>
        <w:t>/</w:t>
      </w:r>
      <w:r w:rsidRPr="00EA145F">
        <w:rPr>
          <w:u w:val="single"/>
          <w:lang w:eastAsia="da-DK"/>
        </w:rPr>
        <w:t>experience</w:t>
      </w:r>
      <w:r w:rsidR="00773B22" w:rsidRPr="00773B22">
        <w:rPr>
          <w:lang w:eastAsia="da-DK"/>
        </w:rPr>
        <w:t xml:space="preserve"> </w:t>
      </w:r>
      <w:r w:rsidRPr="003E7744">
        <w:rPr>
          <w:lang w:eastAsia="da-DK"/>
        </w:rPr>
        <w:t>position</w:t>
      </w:r>
    </w:p>
    <w:p w14:paraId="7E8B2E08" w14:textId="3E4FE7F7" w:rsidR="00091B39" w:rsidRPr="003E7744" w:rsidRDefault="00773B22" w:rsidP="00091B39">
      <w:pPr>
        <w:pStyle w:val="Paragraph"/>
        <w:rPr>
          <w:lang w:eastAsia="da-DK"/>
        </w:rPr>
      </w:pPr>
      <w:r>
        <w:rPr>
          <w:lang w:eastAsia="da-DK"/>
        </w:rPr>
        <w:t>T</w:t>
      </w:r>
      <w:r w:rsidR="00091B39" w:rsidRPr="003E7744">
        <w:rPr>
          <w:lang w:eastAsia="da-DK"/>
        </w:rPr>
        <w:t xml:space="preserve">wo arrows point from the central </w:t>
      </w:r>
      <w:r w:rsidR="00091B39" w:rsidRPr="003E7744">
        <w:rPr>
          <w:i/>
          <w:iCs/>
          <w:lang w:eastAsia="da-DK"/>
        </w:rPr>
        <w:t>Young child explores</w:t>
      </w:r>
      <w:r w:rsidR="00091B39" w:rsidRPr="003E7744">
        <w:rPr>
          <w:lang w:eastAsia="da-DK"/>
        </w:rPr>
        <w:t xml:space="preserve">. One points to </w:t>
      </w:r>
      <w:r w:rsidR="00091B39" w:rsidRPr="003E7744">
        <w:rPr>
          <w:i/>
          <w:iCs/>
          <w:lang w:eastAsia="da-DK"/>
        </w:rPr>
        <w:t>Experiential education,</w:t>
      </w:r>
      <w:r w:rsidR="00091B39" w:rsidRPr="003E7744">
        <w:rPr>
          <w:lang w:eastAsia="da-DK"/>
        </w:rPr>
        <w:t xml:space="preserve"> another to </w:t>
      </w:r>
      <w:r w:rsidR="00091B39" w:rsidRPr="003E7744">
        <w:rPr>
          <w:i/>
          <w:iCs/>
          <w:lang w:eastAsia="da-DK"/>
        </w:rPr>
        <w:t>Surrounding world</w:t>
      </w:r>
      <w:r w:rsidR="00091B39" w:rsidRPr="003E7744">
        <w:rPr>
          <w:lang w:eastAsia="da-DK"/>
        </w:rPr>
        <w:t xml:space="preserve">. This could signify that </w:t>
      </w:r>
      <w:r w:rsidR="00091B39" w:rsidRPr="003E7744">
        <w:rPr>
          <w:i/>
          <w:iCs/>
          <w:lang w:eastAsia="da-DK"/>
        </w:rPr>
        <w:t>Young child explores</w:t>
      </w:r>
      <w:r w:rsidR="00091B39" w:rsidRPr="003E7744">
        <w:rPr>
          <w:lang w:eastAsia="da-DK"/>
        </w:rPr>
        <w:t xml:space="preserve"> </w:t>
      </w:r>
      <w:r w:rsidR="00091B39" w:rsidRPr="003E7744">
        <w:rPr>
          <w:lang w:eastAsia="da-DK"/>
        </w:rPr>
        <w:lastRenderedPageBreak/>
        <w:t>somehow modifies or informs these two other themes.  </w:t>
      </w:r>
    </w:p>
    <w:p w14:paraId="3C71F27A" w14:textId="7BF7F3C9" w:rsidR="00091B39" w:rsidRPr="003E7744" w:rsidRDefault="00942CDB" w:rsidP="00B93FAC">
      <w:pPr>
        <w:pStyle w:val="Newparagraph"/>
        <w:rPr>
          <w:lang w:eastAsia="da-DK"/>
        </w:rPr>
      </w:pPr>
      <w:r>
        <w:rPr>
          <w:lang w:eastAsia="da-DK"/>
        </w:rPr>
        <w:t xml:space="preserve">The theme </w:t>
      </w:r>
      <w:r w:rsidR="00091B39" w:rsidRPr="003E7744">
        <w:rPr>
          <w:i/>
          <w:iCs/>
          <w:lang w:eastAsia="da-DK"/>
        </w:rPr>
        <w:t xml:space="preserve">Young child explores </w:t>
      </w:r>
      <w:r>
        <w:rPr>
          <w:lang w:eastAsia="da-DK"/>
        </w:rPr>
        <w:t xml:space="preserve">is named after </w:t>
      </w:r>
      <w:r w:rsidR="00091B39" w:rsidRPr="003E7744">
        <w:rPr>
          <w:lang w:eastAsia="da-DK"/>
        </w:rPr>
        <w:t xml:space="preserve">thick connections </w:t>
      </w:r>
      <w:r w:rsidR="00091B39" w:rsidRPr="003E7744">
        <w:rPr>
          <w:i/>
          <w:iCs/>
          <w:lang w:eastAsia="da-DK"/>
        </w:rPr>
        <w:t>young</w:t>
      </w:r>
      <w:r w:rsidR="00091B39" w:rsidRPr="003E7744">
        <w:rPr>
          <w:lang w:eastAsia="da-DK"/>
        </w:rPr>
        <w:t xml:space="preserve"> </w:t>
      </w:r>
      <w:r w:rsidR="007073B0">
        <w:rPr>
          <w:lang w:eastAsia="da-DK"/>
        </w:rPr>
        <w:t>-&gt;</w:t>
      </w:r>
      <w:r w:rsidR="00091B39" w:rsidRPr="003E7744">
        <w:rPr>
          <w:lang w:eastAsia="da-DK"/>
        </w:rPr>
        <w:t xml:space="preserve"> </w:t>
      </w:r>
      <w:r w:rsidR="00091B39" w:rsidRPr="003E7744">
        <w:rPr>
          <w:i/>
          <w:iCs/>
          <w:lang w:eastAsia="da-DK"/>
        </w:rPr>
        <w:t>child</w:t>
      </w:r>
      <w:r w:rsidR="00091B39" w:rsidRPr="003E7744">
        <w:rPr>
          <w:lang w:eastAsia="da-DK"/>
        </w:rPr>
        <w:t xml:space="preserve"> and </w:t>
      </w:r>
      <w:r w:rsidR="00091B39" w:rsidRPr="003E7744">
        <w:rPr>
          <w:i/>
          <w:iCs/>
          <w:lang w:eastAsia="da-DK"/>
        </w:rPr>
        <w:t xml:space="preserve">child </w:t>
      </w:r>
      <w:r w:rsidR="007073B0">
        <w:rPr>
          <w:lang w:eastAsia="da-DK"/>
        </w:rPr>
        <w:t>-&gt;</w:t>
      </w:r>
      <w:r w:rsidR="00091B39" w:rsidRPr="003E7744">
        <w:rPr>
          <w:lang w:eastAsia="da-DK"/>
        </w:rPr>
        <w:t xml:space="preserve"> </w:t>
      </w:r>
      <w:r w:rsidR="00091B39" w:rsidRPr="003E7744">
        <w:rPr>
          <w:i/>
          <w:iCs/>
          <w:lang w:eastAsia="da-DK"/>
        </w:rPr>
        <w:t>explore</w:t>
      </w:r>
      <w:r w:rsidR="00091B39" w:rsidRPr="003E7744">
        <w:rPr>
          <w:lang w:eastAsia="da-DK"/>
        </w:rPr>
        <w:t xml:space="preserve">. The word </w:t>
      </w:r>
      <w:r w:rsidR="00091B39" w:rsidRPr="003E7744">
        <w:rPr>
          <w:i/>
          <w:iCs/>
          <w:lang w:eastAsia="da-DK"/>
        </w:rPr>
        <w:t xml:space="preserve">child </w:t>
      </w:r>
      <w:r>
        <w:rPr>
          <w:lang w:eastAsia="da-DK"/>
        </w:rPr>
        <w:t xml:space="preserve">is central and connected to </w:t>
      </w:r>
      <w:r w:rsidR="00091B39" w:rsidRPr="003E7744">
        <w:rPr>
          <w:lang w:eastAsia="da-DK"/>
        </w:rPr>
        <w:t>encouragement, inciting, stimulating, empowering, assisting, and enabling</w:t>
      </w:r>
      <w:r w:rsidR="00B93FAC">
        <w:rPr>
          <w:lang w:eastAsia="da-DK"/>
        </w:rPr>
        <w:t xml:space="preserve">. These all seem like strategies for letting </w:t>
      </w:r>
      <w:r w:rsidR="003D468F">
        <w:rPr>
          <w:lang w:eastAsia="da-DK"/>
        </w:rPr>
        <w:t>children explore by using c</w:t>
      </w:r>
      <w:r w:rsidR="00B93FAC">
        <w:rPr>
          <w:lang w:eastAsia="da-DK"/>
        </w:rPr>
        <w:t xml:space="preserve">uriosity, experience, </w:t>
      </w:r>
      <w:r w:rsidR="003D468F">
        <w:rPr>
          <w:lang w:eastAsia="da-DK"/>
        </w:rPr>
        <w:t xml:space="preserve">and </w:t>
      </w:r>
      <w:r w:rsidR="00B93FAC">
        <w:rPr>
          <w:lang w:eastAsia="da-DK"/>
        </w:rPr>
        <w:t xml:space="preserve">language, and </w:t>
      </w:r>
      <w:r w:rsidR="003D468F">
        <w:rPr>
          <w:lang w:eastAsia="da-DK"/>
        </w:rPr>
        <w:t xml:space="preserve">for giving weight to </w:t>
      </w:r>
      <w:proofErr w:type="spellStart"/>
      <w:r w:rsidR="003D468F">
        <w:rPr>
          <w:lang w:eastAsia="da-DK"/>
        </w:rPr>
        <w:t>childrens</w:t>
      </w:r>
      <w:proofErr w:type="spellEnd"/>
      <w:r w:rsidR="003D468F">
        <w:rPr>
          <w:lang w:eastAsia="da-DK"/>
        </w:rPr>
        <w:t>’ decisions</w:t>
      </w:r>
      <w:r w:rsidR="00B93FAC">
        <w:rPr>
          <w:lang w:eastAsia="da-DK"/>
        </w:rPr>
        <w:t>.  Curiosity</w:t>
      </w:r>
      <w:r w:rsidR="00B93FAC" w:rsidRPr="003E7744">
        <w:rPr>
          <w:lang w:eastAsia="da-DK"/>
        </w:rPr>
        <w:t xml:space="preserve"> can drive action so that the </w:t>
      </w:r>
      <w:r w:rsidR="00B93FAC">
        <w:rPr>
          <w:lang w:eastAsia="da-DK"/>
        </w:rPr>
        <w:t>child</w:t>
      </w:r>
      <w:r w:rsidR="00B93FAC" w:rsidRPr="003E7744">
        <w:rPr>
          <w:lang w:eastAsia="da-DK"/>
        </w:rPr>
        <w:t xml:space="preserve"> comes to own the inquiry process (Bruce</w:t>
      </w:r>
      <w:r w:rsidR="00B93FAC">
        <w:rPr>
          <w:lang w:eastAsia="da-DK"/>
        </w:rPr>
        <w:t xml:space="preserve"> </w:t>
      </w:r>
      <w:r w:rsidR="00B93FAC" w:rsidRPr="003E7744">
        <w:rPr>
          <w:lang w:eastAsia="da-DK"/>
        </w:rPr>
        <w:t>&amp; Casey, 2012</w:t>
      </w:r>
      <w:r w:rsidR="00B93FAC">
        <w:rPr>
          <w:lang w:eastAsia="da-DK"/>
        </w:rPr>
        <w:t>;</w:t>
      </w:r>
      <w:r w:rsidR="00B93FAC" w:rsidRPr="003E7744">
        <w:rPr>
          <w:lang w:eastAsia="da-DK"/>
        </w:rPr>
        <w:t xml:space="preserve"> </w:t>
      </w:r>
      <w:proofErr w:type="spellStart"/>
      <w:r w:rsidR="00B93FAC" w:rsidRPr="003E7744">
        <w:rPr>
          <w:lang w:eastAsia="da-DK"/>
        </w:rPr>
        <w:t>Samarapungavan</w:t>
      </w:r>
      <w:proofErr w:type="spellEnd"/>
      <w:r w:rsidR="00B93FAC">
        <w:rPr>
          <w:lang w:eastAsia="da-DK"/>
        </w:rPr>
        <w:t xml:space="preserve"> et al.</w:t>
      </w:r>
      <w:r w:rsidR="00B93FAC" w:rsidRPr="003E7744">
        <w:rPr>
          <w:lang w:eastAsia="da-DK"/>
        </w:rPr>
        <w:t>, 20</w:t>
      </w:r>
      <w:r w:rsidR="00B93FAC">
        <w:rPr>
          <w:lang w:eastAsia="da-DK"/>
        </w:rPr>
        <w:t>09</w:t>
      </w:r>
      <w:r w:rsidR="00B93FAC" w:rsidRPr="003E7744">
        <w:rPr>
          <w:lang w:eastAsia="da-DK"/>
        </w:rPr>
        <w:t xml:space="preserve">; </w:t>
      </w:r>
      <w:proofErr w:type="spellStart"/>
      <w:r w:rsidR="00B93FAC" w:rsidRPr="003E7744">
        <w:rPr>
          <w:lang w:eastAsia="da-DK"/>
        </w:rPr>
        <w:t>Senocak</w:t>
      </w:r>
      <w:proofErr w:type="spellEnd"/>
      <w:r w:rsidR="00B93FAC">
        <w:rPr>
          <w:lang w:eastAsia="da-DK"/>
        </w:rPr>
        <w:t xml:space="preserve"> et al.,</w:t>
      </w:r>
      <w:r w:rsidR="00B93FAC" w:rsidRPr="003E7744">
        <w:rPr>
          <w:lang w:eastAsia="da-DK"/>
        </w:rPr>
        <w:t xml:space="preserve"> 2013; Van hook</w:t>
      </w:r>
      <w:r w:rsidR="00B93FAC">
        <w:rPr>
          <w:lang w:eastAsia="da-DK"/>
        </w:rPr>
        <w:t xml:space="preserve"> </w:t>
      </w:r>
      <w:r w:rsidR="00B93FAC" w:rsidRPr="003E7744">
        <w:rPr>
          <w:lang w:eastAsia="da-DK"/>
        </w:rPr>
        <w:t xml:space="preserve">&amp; </w:t>
      </w:r>
      <w:proofErr w:type="spellStart"/>
      <w:r w:rsidR="00B93FAC" w:rsidRPr="003E7744">
        <w:rPr>
          <w:lang w:eastAsia="da-DK"/>
        </w:rPr>
        <w:t>Huziak</w:t>
      </w:r>
      <w:proofErr w:type="spellEnd"/>
      <w:r w:rsidR="00B93FAC" w:rsidRPr="003E7744">
        <w:rPr>
          <w:lang w:eastAsia="da-DK"/>
        </w:rPr>
        <w:t>-Clark, 2008)</w:t>
      </w:r>
      <w:r w:rsidR="00B93FAC">
        <w:rPr>
          <w:lang w:eastAsia="da-DK"/>
        </w:rPr>
        <w:t>, rather than being provided</w:t>
      </w:r>
      <w:r w:rsidR="00B93FAC" w:rsidRPr="003E7744">
        <w:rPr>
          <w:lang w:eastAsia="da-DK"/>
        </w:rPr>
        <w:t xml:space="preserve"> </w:t>
      </w:r>
      <w:r w:rsidR="00B93FAC">
        <w:rPr>
          <w:lang w:eastAsia="da-DK"/>
        </w:rPr>
        <w:t>with</w:t>
      </w:r>
      <w:r w:rsidR="00B93FAC" w:rsidRPr="003E7744">
        <w:rPr>
          <w:lang w:eastAsia="da-DK"/>
        </w:rPr>
        <w:t xml:space="preserve"> information on scientific concepts</w:t>
      </w:r>
      <w:r w:rsidR="00B93FAC">
        <w:rPr>
          <w:lang w:eastAsia="da-DK"/>
        </w:rPr>
        <w:t xml:space="preserve"> (Ilhan &amp; </w:t>
      </w:r>
      <w:proofErr w:type="spellStart"/>
      <w:r w:rsidR="00B93FAC">
        <w:rPr>
          <w:lang w:eastAsia="da-DK"/>
        </w:rPr>
        <w:t>Tosun</w:t>
      </w:r>
      <w:proofErr w:type="spellEnd"/>
      <w:r w:rsidR="00B93FAC">
        <w:rPr>
          <w:lang w:eastAsia="da-DK"/>
        </w:rPr>
        <w:t xml:space="preserve">, 2016).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r w:rsidR="003D468F">
        <w:rPr>
          <w:lang w:eastAsia="da-DK"/>
        </w:rPr>
        <w:t xml:space="preserve">Unsurprisingly, </w:t>
      </w:r>
      <w:r w:rsidR="00091B39" w:rsidRPr="003E7744">
        <w:rPr>
          <w:i/>
          <w:iCs/>
          <w:lang w:eastAsia="da-DK"/>
        </w:rPr>
        <w:t xml:space="preserve">engage </w:t>
      </w:r>
      <w:r w:rsidR="003D468F">
        <w:rPr>
          <w:lang w:eastAsia="da-DK"/>
        </w:rPr>
        <w:t xml:space="preserve">is another central word this theme; </w:t>
      </w:r>
      <w:proofErr w:type="spellStart"/>
      <w:r w:rsidR="003D468F">
        <w:rPr>
          <w:lang w:eastAsia="da-DK"/>
        </w:rPr>
        <w:t>childrens</w:t>
      </w:r>
      <w:proofErr w:type="spellEnd"/>
      <w:r w:rsidR="003D468F">
        <w:rPr>
          <w:lang w:eastAsia="da-DK"/>
        </w:rPr>
        <w:t>’ engagement is instrumental for their exploration</w:t>
      </w:r>
      <w:r w:rsidR="00091B39" w:rsidRPr="003E7744">
        <w:rPr>
          <w:lang w:eastAsia="da-DK"/>
        </w:rPr>
        <w:t xml:space="preserve">. </w:t>
      </w:r>
    </w:p>
    <w:p w14:paraId="7A6FF8AD" w14:textId="2D6ABDE2"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w:t>
      </w:r>
      <w:r w:rsidRPr="003E7744">
        <w:rPr>
          <w:i/>
          <w:iCs/>
          <w:lang w:eastAsia="da-DK"/>
        </w:rPr>
        <w:t>starting</w:t>
      </w:r>
      <w:r w:rsidRPr="003E7744">
        <w:rPr>
          <w:lang w:eastAsia="da-DK"/>
        </w:rPr>
        <w:t xml:space="preserve"> </w:t>
      </w:r>
      <w:r w:rsidR="007073B0">
        <w:rPr>
          <w:lang w:eastAsia="da-DK"/>
        </w:rPr>
        <w:t>-&gt;</w:t>
      </w:r>
      <w:r w:rsidRPr="003E7744">
        <w:rPr>
          <w:lang w:eastAsia="da-DK"/>
        </w:rPr>
        <w:t xml:space="preserve"> </w:t>
      </w:r>
      <w:r w:rsidRPr="003E7744">
        <w:rPr>
          <w:i/>
          <w:iCs/>
          <w:lang w:eastAsia="da-DK"/>
        </w:rPr>
        <w:t>point</w:t>
      </w:r>
      <w:r w:rsidRPr="003E7744">
        <w:rPr>
          <w:lang w:eastAsia="da-DK"/>
        </w:rPr>
        <w:t xml:space="preserve"> and </w:t>
      </w:r>
      <w:r w:rsidRPr="007073B0">
        <w:rPr>
          <w:i/>
          <w:iCs/>
          <w:lang w:eastAsia="da-DK"/>
        </w:rPr>
        <w:t>concept</w:t>
      </w:r>
      <w:r w:rsidRPr="003E7744">
        <w:rPr>
          <w:lang w:eastAsia="da-DK"/>
        </w:rPr>
        <w:t xml:space="preserve"> </w:t>
      </w:r>
      <w:r w:rsidR="007073B0">
        <w:rPr>
          <w:lang w:eastAsia="da-DK"/>
        </w:rPr>
        <w:t>-&gt;</w:t>
      </w:r>
      <w:r w:rsidRPr="003E7744">
        <w:rPr>
          <w:lang w:eastAsia="da-DK"/>
        </w:rPr>
        <w:t xml:space="preserve">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29F490BD" w:rsidR="00091B39" w:rsidRPr="003E7744" w:rsidRDefault="00091B39" w:rsidP="00B93FAC">
      <w:pPr>
        <w:pStyle w:val="Displayedquotation"/>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5C2CCB6C" w14:textId="77777777" w:rsidR="00091B39" w:rsidRPr="003E7744" w:rsidRDefault="00091B39" w:rsidP="003D468F">
      <w:pPr>
        <w:pStyle w:val="Newparagraph"/>
        <w:ind w:firstLine="0"/>
        <w:rPr>
          <w:lang w:eastAsia="da-DK"/>
        </w:rPr>
      </w:pPr>
      <w:r w:rsidRPr="003E7744">
        <w:rPr>
          <w:i/>
          <w:iCs/>
          <w:lang w:eastAsia="da-DK"/>
        </w:rPr>
        <w:lastRenderedPageBreak/>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28801CB7"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r w:rsidRPr="003E7744">
        <w:rPr>
          <w:i/>
          <w:iCs/>
          <w:lang w:eastAsia="da-DK"/>
        </w:rPr>
        <w:t>Young child explores</w:t>
      </w:r>
      <w:r w:rsidRPr="003E7744">
        <w:rPr>
          <w:lang w:eastAsia="da-DK"/>
        </w:rPr>
        <w:t xml:space="preserve"> also has a strong connection to </w:t>
      </w:r>
      <w:r w:rsidRPr="003E7744">
        <w:rPr>
          <w:i/>
          <w:iCs/>
          <w:lang w:eastAsia="da-DK"/>
        </w:rPr>
        <w:t>Experiential education</w:t>
      </w:r>
      <w:r w:rsidRPr="003E7744">
        <w:rPr>
          <w:lang w:eastAsia="da-DK"/>
        </w:rPr>
        <w:t xml:space="preserve"> in Figure </w:t>
      </w:r>
      <w:r w:rsidR="00C718A8">
        <w:rPr>
          <w:lang w:eastAsia="da-DK"/>
        </w:rPr>
        <w:t>3</w:t>
      </w:r>
      <w:r w:rsidRPr="003E7744">
        <w:rPr>
          <w:lang w:eastAsia="da-DK"/>
        </w:rPr>
        <w:t xml:space="preserve">.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w:t>
      </w:r>
      <w:r w:rsidRPr="007073B0">
        <w:rPr>
          <w:i/>
          <w:iCs/>
          <w:lang w:eastAsia="da-DK"/>
        </w:rPr>
        <w:t>childhood</w:t>
      </w:r>
      <w:r w:rsidRPr="003E7744">
        <w:rPr>
          <w:lang w:eastAsia="da-DK"/>
        </w:rPr>
        <w:t xml:space="preserve"> links </w:t>
      </w:r>
      <w:r w:rsidR="007073B0">
        <w:rPr>
          <w:lang w:eastAsia="da-DK"/>
        </w:rPr>
        <w:t>further</w:t>
      </w:r>
      <w:r w:rsidRPr="003E7744">
        <w:rPr>
          <w:lang w:eastAsia="da-DK"/>
        </w:rPr>
        <w:t xml:space="preserve">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Default="000061AB" w:rsidP="00091B39">
      <w:pPr>
        <w:pStyle w:val="Heading2"/>
        <w:rPr>
          <w:lang w:eastAsia="da-DK"/>
        </w:rPr>
      </w:pPr>
      <w:r>
        <w:rPr>
          <w:lang w:eastAsia="da-DK"/>
        </w:rPr>
        <w:lastRenderedPageBreak/>
        <w:t>Connections between the three theoretical positions</w:t>
      </w:r>
    </w:p>
    <w:p w14:paraId="75808FFF" w14:textId="7C2200E5" w:rsidR="00091B39" w:rsidRDefault="00F94DD3" w:rsidP="00091B39">
      <w:pPr>
        <w:pStyle w:val="Paragraph"/>
        <w:rPr>
          <w:lang w:eastAsia="da-DK"/>
        </w:rPr>
      </w:pPr>
      <w:r>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77777777" w:rsidR="008A013F" w:rsidRPr="00F04C61" w:rsidRDefault="00091B39" w:rsidP="00F04C61">
      <w:pPr>
        <w:pStyle w:val="Figurecaption"/>
      </w:pPr>
      <w:r w:rsidRPr="00F04C61">
        <w:t>Figure 4.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725AE644" w:rsidR="008A013F" w:rsidRPr="00F04C61" w:rsidRDefault="00C718A8" w:rsidP="00F04C61">
      <w:pPr>
        <w:pStyle w:val="Paragraph"/>
        <w:rPr>
          <w:lang w:eastAsia="da-DK"/>
        </w:rPr>
      </w:pPr>
      <w:r>
        <w:rPr>
          <w:lang w:eastAsia="da-DK"/>
        </w:rPr>
        <w:t xml:space="preserve">In summary, our analysis finds three distinct but connected theoretical positions (see Figure </w:t>
      </w:r>
      <w:r w:rsidR="00ED151D">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Pr>
          <w:lang w:eastAsia="da-DK"/>
        </w:rPr>
        <w:t>The</w:t>
      </w:r>
      <w:r w:rsidR="00091B39" w:rsidRPr="003E7744">
        <w:rPr>
          <w:lang w:eastAsia="da-DK"/>
        </w:rPr>
        <w:t xml:space="preserve"> link from </w:t>
      </w:r>
      <w:r w:rsidR="00091B39" w:rsidRPr="003E7744">
        <w:rPr>
          <w:i/>
          <w:iCs/>
          <w:u w:val="single"/>
          <w:lang w:eastAsia="da-DK"/>
        </w:rPr>
        <w:t xml:space="preserve">Modelling scientific </w:t>
      </w:r>
      <w:proofErr w:type="gramStart"/>
      <w:r w:rsidR="00091B39" w:rsidRPr="003E7744">
        <w:rPr>
          <w:i/>
          <w:iCs/>
          <w:u w:val="single"/>
          <w:lang w:eastAsia="da-DK"/>
        </w:rPr>
        <w:t>practice</w:t>
      </w:r>
      <w:r w:rsidR="00091B39" w:rsidRPr="003E7744">
        <w:rPr>
          <w:u w:val="single"/>
          <w:lang w:eastAsia="da-DK"/>
        </w:rPr>
        <w:t xml:space="preserve"> </w:t>
      </w:r>
      <w:r w:rsidR="00091B39" w:rsidRPr="003E7744">
        <w:rPr>
          <w:lang w:eastAsia="da-DK"/>
        </w:rPr>
        <w:t> to</w:t>
      </w:r>
      <w:proofErr w:type="gramEnd"/>
      <w:r w:rsidR="00091B39" w:rsidRPr="003E7744">
        <w:rPr>
          <w:lang w:eastAsia="da-DK"/>
        </w:rPr>
        <w:t xml:space="preserve"> </w:t>
      </w:r>
      <w:r w:rsidR="00091B39" w:rsidRPr="003E7744">
        <w:rPr>
          <w:i/>
          <w:iCs/>
          <w:u w:val="single"/>
          <w:lang w:eastAsia="da-DK"/>
        </w:rPr>
        <w:t>Child exploration</w:t>
      </w:r>
      <w:r w:rsidR="00091B39" w:rsidRPr="003E7744">
        <w:rPr>
          <w:lang w:eastAsia="da-DK"/>
        </w:rPr>
        <w:t xml:space="preserve"> is mainly due to the direct connection from </w:t>
      </w:r>
      <w:r w:rsidR="00091B39" w:rsidRPr="00ED151D">
        <w:rPr>
          <w:i/>
          <w:iCs/>
          <w:lang w:eastAsia="da-DK"/>
        </w:rPr>
        <w:t>Instruction</w:t>
      </w:r>
      <w:r w:rsidR="00ED151D" w:rsidRPr="00ED151D">
        <w:rPr>
          <w:i/>
          <w:iCs/>
          <w:lang w:eastAsia="da-DK"/>
        </w:rPr>
        <w:t>al</w:t>
      </w:r>
      <w:r w:rsidR="00091B39" w:rsidRPr="00ED151D">
        <w:rPr>
          <w:i/>
          <w:iCs/>
          <w:lang w:eastAsia="da-DK"/>
        </w:rPr>
        <w:t xml:space="preserve"> models and evidence</w:t>
      </w:r>
      <w:r w:rsidR="00091B39" w:rsidRPr="003E7744">
        <w:rPr>
          <w:lang w:eastAsia="da-DK"/>
        </w:rPr>
        <w:t xml:space="preserve"> to </w:t>
      </w:r>
      <w:r w:rsidR="00091B39" w:rsidRPr="003E7744">
        <w:rPr>
          <w:i/>
          <w:iCs/>
          <w:lang w:eastAsia="da-DK"/>
        </w:rPr>
        <w:t>Young child explores</w:t>
      </w:r>
      <w:r w:rsidR="00091B39" w:rsidRPr="003E7744">
        <w:rPr>
          <w:lang w:eastAsia="da-DK"/>
        </w:rPr>
        <w:t>.</w:t>
      </w:r>
      <w:r w:rsidR="00ED151D">
        <w:rPr>
          <w:lang w:eastAsia="da-DK"/>
        </w:rPr>
        <w:t xml:space="preserve"> </w:t>
      </w:r>
      <w:r w:rsidR="00091B39" w:rsidRPr="003E7744">
        <w:rPr>
          <w:lang w:eastAsia="da-DK"/>
        </w:rPr>
        <w:t xml:space="preserve"> </w:t>
      </w:r>
      <w:r w:rsidR="000F6EDE">
        <w:rPr>
          <w:lang w:eastAsia="da-DK"/>
        </w:rPr>
        <w:t xml:space="preserve">This connection </w:t>
      </w:r>
      <w:r w:rsidR="00C2598A">
        <w:rPr>
          <w:lang w:eastAsia="da-DK"/>
        </w:rPr>
        <w:t>in turn is due to</w:t>
      </w:r>
      <w:r w:rsidR="000F6EDE">
        <w:rPr>
          <w:lang w:eastAsia="da-DK"/>
        </w:rPr>
        <w:t xml:space="preserve"> </w:t>
      </w:r>
      <w:r w:rsidR="00FA4FA5">
        <w:rPr>
          <w:lang w:eastAsia="da-DK"/>
        </w:rPr>
        <w:t>links in the final linguistic network</w:t>
      </w:r>
      <w:r w:rsidR="000F6EDE">
        <w:rPr>
          <w:lang w:eastAsia="da-DK"/>
        </w:rPr>
        <w:t xml:space="preserve"> </w:t>
      </w:r>
      <w:r w:rsidR="00FA4FA5">
        <w:rPr>
          <w:lang w:eastAsia="da-DK"/>
        </w:rPr>
        <w:t xml:space="preserve">(“linguistic links”) </w:t>
      </w:r>
      <w:r w:rsidR="00C2598A">
        <w:rPr>
          <w:lang w:eastAsia="da-DK"/>
        </w:rPr>
        <w:t>that highlight</w:t>
      </w:r>
      <w:r w:rsidR="000F6EDE">
        <w:rPr>
          <w:lang w:eastAsia="da-DK"/>
        </w:rPr>
        <w:t xml:space="preserve"> </w:t>
      </w:r>
      <w:r w:rsidR="00C2598A">
        <w:rPr>
          <w:lang w:eastAsia="da-DK"/>
        </w:rPr>
        <w:t xml:space="preserve">how theoretical excerpts connect </w:t>
      </w:r>
      <w:r w:rsidR="000F6EDE">
        <w:rPr>
          <w:lang w:eastAsia="da-DK"/>
        </w:rPr>
        <w:t>instructional models a</w:t>
      </w:r>
      <w:r w:rsidR="00C2598A">
        <w:rPr>
          <w:lang w:eastAsia="da-DK"/>
        </w:rPr>
        <w:t>s a way of engaging children in exploration</w:t>
      </w:r>
      <w:r w:rsidR="000F6EDE">
        <w:rPr>
          <w:lang w:eastAsia="da-DK"/>
        </w:rPr>
        <w:t xml:space="preserve">.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 xml:space="preserve">Developing </w:t>
      </w:r>
      <w:r w:rsidR="00F04C61" w:rsidRPr="00F04C61">
        <w:rPr>
          <w:i/>
          <w:iCs/>
          <w:u w:val="single"/>
          <w:lang w:eastAsia="da-DK"/>
        </w:rPr>
        <w:lastRenderedPageBreak/>
        <w:t>Competencies</w:t>
      </w:r>
      <w:r w:rsidR="00F04C61">
        <w:rPr>
          <w:lang w:eastAsia="da-DK"/>
        </w:rPr>
        <w:t xml:space="preserve"> to </w:t>
      </w:r>
      <w:r w:rsidR="00F04C61" w:rsidRPr="00F04C61">
        <w:rPr>
          <w:i/>
          <w:iCs/>
          <w:u w:val="single"/>
          <w:lang w:eastAsia="da-DK"/>
        </w:rPr>
        <w:t>Child Exploration</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Problem solving</w:t>
      </w:r>
      <w:r w:rsidR="00F04C61">
        <w:rPr>
          <w:lang w:eastAsia="da-DK"/>
        </w:rPr>
        <w:t xml:space="preserve"> to </w:t>
      </w:r>
      <w:r w:rsidR="00F04C61" w:rsidRPr="00F04C61">
        <w:rPr>
          <w:i/>
          <w:iCs/>
          <w:lang w:eastAsia="da-DK"/>
        </w:rPr>
        <w:t>Young child explores</w:t>
      </w:r>
      <w:r w:rsidR="00F04C61">
        <w:rPr>
          <w:lang w:eastAsia="da-DK"/>
        </w:rPr>
        <w:t xml:space="preserve">. </w:t>
      </w:r>
      <w:r w:rsidR="00C2598A">
        <w:rPr>
          <w:lang w:eastAsia="da-DK"/>
        </w:rPr>
        <w:t>Th</w:t>
      </w:r>
      <w:r w:rsidR="00FA4FA5">
        <w:rPr>
          <w:lang w:eastAsia="da-DK"/>
        </w:rPr>
        <w:t xml:space="preserve">is connection relies on multiple linguistic links, which highlight the need to think about the emotional, physical, intellectual, technical, and social environment during problem solving.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Developing competencies</w:t>
      </w:r>
      <w:r w:rsidR="00F04C61">
        <w:rPr>
          <w:lang w:eastAsia="da-DK"/>
        </w:rPr>
        <w:t xml:space="preserve"> to </w:t>
      </w:r>
      <w:r w:rsidR="00F04C61" w:rsidRPr="00F04C61">
        <w:rPr>
          <w:i/>
          <w:iCs/>
          <w:u w:val="single"/>
          <w:lang w:eastAsia="da-DK"/>
        </w:rPr>
        <w:t xml:space="preserve">Modelling scientific </w:t>
      </w:r>
      <w:r w:rsidR="00F04C61">
        <w:rPr>
          <w:i/>
          <w:iCs/>
          <w:u w:val="single"/>
          <w:lang w:eastAsia="da-DK"/>
        </w:rPr>
        <w:t>practice</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Process skill</w:t>
      </w:r>
      <w:r w:rsidR="00F04C61">
        <w:rPr>
          <w:lang w:eastAsia="da-DK"/>
        </w:rPr>
        <w:t xml:space="preserve"> to </w:t>
      </w:r>
      <w:r w:rsidR="00F04C61" w:rsidRPr="00F04C61">
        <w:rPr>
          <w:i/>
          <w:iCs/>
          <w:lang w:eastAsia="da-DK"/>
        </w:rPr>
        <w:t>Instructional models and evidence</w:t>
      </w:r>
      <w:r w:rsidR="00F04C61">
        <w:rPr>
          <w:lang w:eastAsia="da-DK"/>
        </w:rPr>
        <w:t xml:space="preserve">. </w:t>
      </w:r>
      <w:r w:rsidR="00FA4FA5">
        <w:rPr>
          <w:lang w:eastAsia="da-DK"/>
        </w:rPr>
        <w:t>The linguistic links responsible for this connection</w:t>
      </w:r>
      <w:r w:rsidR="000061AB">
        <w:rPr>
          <w:lang w:eastAsia="da-DK"/>
        </w:rPr>
        <w:t xml:space="preserve"> brings together a </w:t>
      </w:r>
      <w:proofErr w:type="gramStart"/>
      <w:r w:rsidR="000061AB">
        <w:rPr>
          <w:lang w:eastAsia="da-DK"/>
        </w:rPr>
        <w:t>learners</w:t>
      </w:r>
      <w:proofErr w:type="gramEnd"/>
      <w:r w:rsidR="000061AB">
        <w:rPr>
          <w:lang w:eastAsia="da-DK"/>
        </w:rPr>
        <w:t xml:space="preserve"> ability to justify, argue, and connect theoretical ideas and knowledge using evidence.  </w:t>
      </w:r>
    </w:p>
    <w:p w14:paraId="662A58CD" w14:textId="77777777" w:rsidR="008A013F" w:rsidRPr="008A013F" w:rsidRDefault="008A013F" w:rsidP="008A013F">
      <w:pPr>
        <w:rPr>
          <w:lang w:eastAsia="da-DK"/>
        </w:rPr>
      </w:pP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3946403D" w:rsidR="00091B39" w:rsidRDefault="002D7E5F" w:rsidP="002D7E5F">
      <w:pPr>
        <w:pStyle w:val="Paragraph"/>
        <w:rPr>
          <w:lang w:eastAsia="da-DK"/>
        </w:rPr>
      </w:pPr>
      <w:r>
        <w:rPr>
          <w:lang w:eastAsia="da-DK"/>
        </w:rPr>
        <w:t xml:space="preserve">Many of Dewey’s original ideas of inquiry and tensions between these ideas are </w:t>
      </w:r>
      <w:r w:rsidR="00E505FC">
        <w:rPr>
          <w:lang w:eastAsia="da-DK"/>
        </w:rPr>
        <w:t>also present in recent theoretical expositions of empirical articles. The idea of phases is prevalent and can be traced to Dewey (2005), and we find intricate relations which can be related to a philosophy of experience.</w:t>
      </w:r>
      <w:r w:rsidR="003E62E0">
        <w:rPr>
          <w:lang w:eastAsia="da-DK"/>
        </w:rPr>
        <w:t xml:space="preserve"> For instance, Dewey’s categories of situation and interaction are present in multiple themes, both as hands-on experiences when modelling scientific practices and in children’s exploration of the surrounding world. </w:t>
      </w:r>
      <w:r w:rsidR="00E505FC">
        <w:rPr>
          <w:lang w:eastAsia="da-DK"/>
        </w:rPr>
        <w:t xml:space="preserve">The tensions we find, however, are not as simple as a tension between traditional and progressive education (Dewey 1928/2015). Rather, </w:t>
      </w:r>
      <w:r w:rsidR="003E62E0">
        <w:rPr>
          <w:lang w:eastAsia="da-DK"/>
        </w:rPr>
        <w:t xml:space="preserve">with our TNA, </w:t>
      </w:r>
      <w:r w:rsidR="00E505FC">
        <w:rPr>
          <w:lang w:eastAsia="da-DK"/>
        </w:rPr>
        <w:t>we see a tension between science practice and child exploration</w:t>
      </w:r>
      <w:r w:rsidR="003E62E0">
        <w:rPr>
          <w:lang w:eastAsia="da-DK"/>
        </w:rPr>
        <w:t>; in the theoretical excerpts</w:t>
      </w:r>
      <w:r w:rsidR="00F90034">
        <w:rPr>
          <w:lang w:eastAsia="da-DK"/>
        </w:rPr>
        <w:t xml:space="preserve"> from empirical literature</w:t>
      </w:r>
      <w:r w:rsidR="003E62E0">
        <w:rPr>
          <w:lang w:eastAsia="da-DK"/>
        </w:rPr>
        <w:t xml:space="preserve"> children’s emotions, genuine curiosity, and affect </w:t>
      </w:r>
      <w:r w:rsidR="00F90034">
        <w:rPr>
          <w:lang w:eastAsia="da-DK"/>
        </w:rPr>
        <w:t>are not</w:t>
      </w:r>
      <w:r w:rsidR="003E62E0">
        <w:rPr>
          <w:lang w:eastAsia="da-DK"/>
        </w:rPr>
        <w:t xml:space="preserve"> tightly linked to scientific practices</w:t>
      </w:r>
      <w:r w:rsidR="00E505FC">
        <w:rPr>
          <w:lang w:eastAsia="da-DK"/>
        </w:rPr>
        <w:t>.</w:t>
      </w:r>
      <w:r w:rsidR="003E62E0">
        <w:rPr>
          <w:lang w:eastAsia="da-DK"/>
        </w:rPr>
        <w:t xml:space="preserve"> </w:t>
      </w:r>
      <w:r w:rsidR="00091B39" w:rsidRPr="003E7744">
        <w:rPr>
          <w:lang w:eastAsia="da-DK"/>
        </w:rPr>
        <w:t> </w:t>
      </w:r>
    </w:p>
    <w:p w14:paraId="6A2930CC" w14:textId="20C9CA44" w:rsidR="007073B0" w:rsidRDefault="007073B0" w:rsidP="007073B0">
      <w:pPr>
        <w:pStyle w:val="Newparagraph"/>
        <w:rPr>
          <w:lang w:eastAsia="da-DK"/>
        </w:rPr>
      </w:pPr>
      <w:r>
        <w:rPr>
          <w:lang w:eastAsia="da-DK"/>
        </w:rPr>
        <w:lastRenderedPageBreak/>
        <w:t xml:space="preserve">The current tension between ECIBSE as scientific practice and child-centred experiential education has been addressed </w:t>
      </w:r>
      <w:r w:rsidR="00D4399F">
        <w:rPr>
          <w:lang w:eastAsia="da-DK"/>
        </w:rPr>
        <w:t>recently by others (</w:t>
      </w:r>
      <w:r w:rsidR="000E1A32">
        <w:rPr>
          <w:lang w:eastAsia="da-DK"/>
        </w:rPr>
        <w:t>e.g.,</w:t>
      </w:r>
      <w:r w:rsidR="00D4399F">
        <w:rPr>
          <w:lang w:eastAsia="da-DK"/>
        </w:rPr>
        <w:t xml:space="preserve"> </w:t>
      </w:r>
      <w:proofErr w:type="spellStart"/>
      <w:r w:rsidR="00D4399F">
        <w:rPr>
          <w:lang w:eastAsia="da-DK"/>
        </w:rPr>
        <w:t>Dobber</w:t>
      </w:r>
      <w:proofErr w:type="spellEnd"/>
      <w:r w:rsidR="000E1A32">
        <w:rPr>
          <w:lang w:eastAsia="da-DK"/>
        </w:rPr>
        <w:t xml:space="preserve">, Zwart, Tanis, &amp; van </w:t>
      </w:r>
      <w:proofErr w:type="spellStart"/>
      <w:r w:rsidR="000E1A32">
        <w:rPr>
          <w:lang w:eastAsia="da-DK"/>
        </w:rPr>
        <w:t>Oers</w:t>
      </w:r>
      <w:proofErr w:type="spellEnd"/>
      <w:r w:rsidR="00D4399F">
        <w:rPr>
          <w:lang w:eastAsia="da-DK"/>
        </w:rPr>
        <w:t xml:space="preserve"> 2017, McGuigan &amp; Russel 2018, Larimore 2020). Each of these works identify this tension, but from different perspectives, and with different solutions. </w:t>
      </w:r>
      <w:proofErr w:type="spellStart"/>
      <w:r w:rsidR="00D4399F">
        <w:rPr>
          <w:lang w:eastAsia="da-DK"/>
        </w:rPr>
        <w:t>Dobber</w:t>
      </w:r>
      <w:proofErr w:type="spellEnd"/>
      <w:r w:rsidR="00D4399F">
        <w:rPr>
          <w:lang w:eastAsia="da-DK"/>
        </w:rPr>
        <w:t xml:space="preserve"> et al (2017) articulate a tension between student directed and teacher directed </w:t>
      </w:r>
      <w:r w:rsidR="00E47EDA">
        <w:rPr>
          <w:lang w:eastAsia="da-DK"/>
        </w:rPr>
        <w:t>inquiry and</w:t>
      </w:r>
      <w:r w:rsidR="00D4399F">
        <w:rPr>
          <w:lang w:eastAsia="da-DK"/>
        </w:rPr>
        <w:t xml:space="preserve"> identify different regulatory approaches</w:t>
      </w:r>
      <w:r w:rsidR="00362349">
        <w:rPr>
          <w:lang w:eastAsia="da-DK"/>
        </w:rPr>
        <w:t>, metacognitive, cognitive, and social</w:t>
      </w:r>
      <w:r w:rsidR="00D4399F">
        <w:rPr>
          <w:lang w:eastAsia="da-DK"/>
        </w:rPr>
        <w:t xml:space="preserve"> for the teacher that could be used to mediate between the directions. Larimore (2020) argues </w:t>
      </w:r>
      <w:r w:rsidR="00E47EDA">
        <w:rPr>
          <w:lang w:eastAsia="da-DK"/>
        </w:rPr>
        <w:t>for</w:t>
      </w:r>
      <w:r w:rsidR="00D4399F">
        <w:rPr>
          <w:lang w:eastAsia="da-DK"/>
        </w:rPr>
        <w:t xml:space="preserve"> </w:t>
      </w:r>
      <w:r w:rsidR="00E47EDA">
        <w:rPr>
          <w:lang w:eastAsia="da-DK"/>
        </w:rPr>
        <w:t xml:space="preserve">a holistic approach where “frequent play-based experiences with phenomena [from the </w:t>
      </w:r>
      <w:proofErr w:type="spellStart"/>
      <w:r w:rsidR="00E47EDA">
        <w:rPr>
          <w:lang w:eastAsia="da-DK"/>
        </w:rPr>
        <w:t>childrens</w:t>
      </w:r>
      <w:proofErr w:type="spellEnd"/>
      <w:r w:rsidR="00E47EDA">
        <w:rPr>
          <w:lang w:eastAsia="da-DK"/>
        </w:rPr>
        <w:t xml:space="preserve">’] everyday lives” help “figuring out” science (p. 709). We believe that our findings highlight a way of thinking about this tension, which is related to but different from both these approaches. </w:t>
      </w:r>
    </w:p>
    <w:p w14:paraId="09C5DDB7" w14:textId="69A3A57E" w:rsidR="002D7E5F" w:rsidRPr="002D7E5F" w:rsidRDefault="00E47EDA" w:rsidP="004D4F79">
      <w:pPr>
        <w:pStyle w:val="Newparagraph"/>
        <w:rPr>
          <w:lang w:eastAsia="da-DK"/>
        </w:rPr>
      </w:pPr>
      <w:r>
        <w:rPr>
          <w:lang w:eastAsia="da-DK"/>
        </w:rPr>
        <w:t>In this way of thinking</w:t>
      </w:r>
      <w:r w:rsidR="004D4F79">
        <w:rPr>
          <w:lang w:eastAsia="da-DK"/>
        </w:rPr>
        <w:t>,</w:t>
      </w:r>
      <w:r>
        <w:rPr>
          <w:lang w:eastAsia="da-DK"/>
        </w:rPr>
        <w:t xml:space="preserve"> modelling scientific practice and child exploration and experience can be moderated by the need for developing competencies. Competency in the sense that we have used the term here includes curiosity, skills, and knowledge, as well as the will and ability to use them when relevant (</w:t>
      </w:r>
      <w:proofErr w:type="spellStart"/>
      <w:r>
        <w:rPr>
          <w:lang w:eastAsia="da-DK"/>
        </w:rPr>
        <w:t>Ropohl</w:t>
      </w:r>
      <w:proofErr w:type="spellEnd"/>
      <w:r>
        <w:rPr>
          <w:lang w:eastAsia="da-DK"/>
        </w:rPr>
        <w:t xml:space="preserve"> et al 2018, p</w:t>
      </w:r>
      <w:r w:rsidR="00DD73DD">
        <w:rPr>
          <w:lang w:eastAsia="da-DK"/>
        </w:rPr>
        <w:t>. 10</w:t>
      </w:r>
      <w:r>
        <w:rPr>
          <w:lang w:eastAsia="da-DK"/>
        </w:rPr>
        <w:t xml:space="preserve">). </w:t>
      </w:r>
      <w:r w:rsidR="004D4F79">
        <w:rPr>
          <w:lang w:eastAsia="da-DK"/>
        </w:rPr>
        <w:t>In this view, children</w:t>
      </w:r>
      <w:r w:rsidR="004C5DA7">
        <w:rPr>
          <w:lang w:eastAsia="da-DK"/>
        </w:rPr>
        <w:t>’</w:t>
      </w:r>
      <w:r w:rsidR="004D4F79">
        <w:rPr>
          <w:lang w:eastAsia="da-DK"/>
        </w:rPr>
        <w:t xml:space="preserve">s development of competencies, becomes a main goal – one that cannot be achieved without either of the two </w:t>
      </w:r>
      <w:r w:rsidR="00947698">
        <w:rPr>
          <w:lang w:eastAsia="da-DK"/>
        </w:rPr>
        <w:t>others</w:t>
      </w:r>
      <w:r w:rsidR="004D4F79">
        <w:rPr>
          <w:lang w:eastAsia="da-DK"/>
        </w:rPr>
        <w:t>. This does not preclude tight connections between children</w:t>
      </w:r>
      <w:r w:rsidR="004C5DA7">
        <w:rPr>
          <w:lang w:eastAsia="da-DK"/>
        </w:rPr>
        <w:t>’</w:t>
      </w:r>
      <w:r w:rsidR="004D4F79">
        <w:rPr>
          <w:lang w:eastAsia="da-DK"/>
        </w:rPr>
        <w:t xml:space="preserve">s innate propensity to be curious and figuring out the world by learning science (Larimore 2020). </w:t>
      </w:r>
    </w:p>
    <w:p w14:paraId="4EC543CB" w14:textId="5C3C8F72" w:rsidR="006E28E4" w:rsidRDefault="00091B39" w:rsidP="00091B39">
      <w:pPr>
        <w:pStyle w:val="Newparagraph"/>
        <w:rPr>
          <w:lang w:eastAsia="da-DK"/>
        </w:rPr>
      </w:pPr>
      <w:r w:rsidRPr="003E7744">
        <w:rPr>
          <w:lang w:eastAsia="da-DK"/>
        </w:rPr>
        <w:t xml:space="preserve">The </w:t>
      </w:r>
      <w:r w:rsidR="004D4F79">
        <w:rPr>
          <w:lang w:eastAsia="da-DK"/>
        </w:rPr>
        <w:t>theoretical</w:t>
      </w:r>
      <w:r w:rsidRPr="003E7744">
        <w:rPr>
          <w:lang w:eastAsia="da-DK"/>
        </w:rPr>
        <w:t xml:space="preserve"> positions</w:t>
      </w:r>
      <w:r w:rsidR="00040DCE">
        <w:rPr>
          <w:lang w:eastAsia="da-DK"/>
        </w:rPr>
        <w:t xml:space="preserve"> and tensions</w:t>
      </w:r>
      <w:r w:rsidRPr="003E7744">
        <w:rPr>
          <w:lang w:eastAsia="da-DK"/>
        </w:rPr>
        <w:t xml:space="preserve"> we found in excerpt</w:t>
      </w:r>
      <w:r w:rsidR="006E28E4">
        <w:rPr>
          <w:lang w:eastAsia="da-DK"/>
        </w:rPr>
        <w:t>s</w:t>
      </w:r>
      <w:r w:rsidRPr="003E7744">
        <w:rPr>
          <w:lang w:eastAsia="da-DK"/>
        </w:rPr>
        <w:t xml:space="preserve"> </w:t>
      </w:r>
      <w:r w:rsidR="006E28E4">
        <w:rPr>
          <w:lang w:eastAsia="da-DK"/>
        </w:rPr>
        <w:t>are</w:t>
      </w:r>
      <w:r w:rsidR="007073B0">
        <w:rPr>
          <w:lang w:eastAsia="da-DK"/>
        </w:rPr>
        <w:t xml:space="preserve"> also highlighted by McGuigan &amp; Russel (2018)</w:t>
      </w:r>
      <w:r w:rsidRPr="003E7744">
        <w:rPr>
          <w:lang w:eastAsia="da-DK"/>
        </w:rPr>
        <w:t xml:space="preserve">. </w:t>
      </w:r>
      <w:r w:rsidR="006E28E4">
        <w:rPr>
          <w:lang w:eastAsia="da-DK"/>
        </w:rPr>
        <w:t>Their analysis suggests, in line with our analysis here, that early years practices should be linked to science approaches, “by tracing developmental learning progressions between general behaviours and the emergence of more science-specific behaviours (p. 34). The</w:t>
      </w:r>
      <w:r w:rsidR="00362349">
        <w:rPr>
          <w:lang w:eastAsia="da-DK"/>
        </w:rPr>
        <w:t xml:space="preserve">y advocate for a “whole child framework” </w:t>
      </w:r>
      <w:r w:rsidR="00362349">
        <w:rPr>
          <w:lang w:eastAsia="da-DK"/>
        </w:rPr>
        <w:lastRenderedPageBreak/>
        <w:t>that integrates these positions and suggest collaborations with practitioners to implement such a framework.</w:t>
      </w:r>
    </w:p>
    <w:p w14:paraId="1E0239E6" w14:textId="3A9F33F4" w:rsidR="003E62E0" w:rsidRDefault="00091B39" w:rsidP="00854B7B">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3F7C059C" w14:textId="7126A2C6" w:rsidR="00362349" w:rsidRPr="003E7744" w:rsidRDefault="00362349" w:rsidP="00854B7B">
      <w:pPr>
        <w:pStyle w:val="Newparagraph"/>
        <w:rPr>
          <w:lang w:eastAsia="da-DK"/>
        </w:rPr>
      </w:pPr>
      <w:r>
        <w:rPr>
          <w:lang w:eastAsia="da-DK"/>
        </w:rPr>
        <w:t>On the other hand, both McGuigan and Russel (2018) and Larim</w:t>
      </w:r>
      <w:r w:rsidR="00854B7B">
        <w:rPr>
          <w:lang w:eastAsia="da-DK"/>
        </w:rPr>
        <w:t>o</w:t>
      </w:r>
      <w:r>
        <w:rPr>
          <w:lang w:eastAsia="da-DK"/>
        </w:rPr>
        <w:t>r</w:t>
      </w:r>
      <w:r w:rsidR="00854B7B">
        <w:rPr>
          <w:lang w:eastAsia="da-DK"/>
        </w:rPr>
        <w:t>e</w:t>
      </w:r>
      <w:r>
        <w:rPr>
          <w:lang w:eastAsia="da-DK"/>
        </w:rPr>
        <w:t xml:space="preserve"> (2020)</w:t>
      </w:r>
      <w:r w:rsidR="00091B39" w:rsidRPr="003E7744">
        <w:rPr>
          <w:lang w:eastAsia="da-DK"/>
        </w:rPr>
        <w:t> </w:t>
      </w:r>
      <w:r>
        <w:rPr>
          <w:lang w:eastAsia="da-DK"/>
        </w:rPr>
        <w:t xml:space="preserve">suggest that children are capable of using both technical terms and of providing explanations of what they experience. </w:t>
      </w:r>
      <w:r w:rsidR="00F90034">
        <w:rPr>
          <w:lang w:eastAsia="da-DK"/>
        </w:rPr>
        <w:t>Furthermore, Larimore may be aligned with Dewey’s idea of continuity, when suggesting “frequent meaningful integration of science” for children. The</w:t>
      </w:r>
      <w:r>
        <w:rPr>
          <w:lang w:eastAsia="da-DK"/>
        </w:rPr>
        <w:t xml:space="preserve"> quest</w:t>
      </w:r>
      <w:r w:rsidR="00F90034">
        <w:rPr>
          <w:lang w:eastAsia="da-DK"/>
        </w:rPr>
        <w:t xml:space="preserve"> may then be</w:t>
      </w:r>
      <w:r>
        <w:rPr>
          <w:lang w:eastAsia="da-DK"/>
        </w:rPr>
        <w:t xml:space="preserve"> to find</w:t>
      </w:r>
      <w:r w:rsidR="00D87BB4">
        <w:rPr>
          <w:lang w:eastAsia="da-DK"/>
        </w:rPr>
        <w:t xml:space="preserve"> </w:t>
      </w:r>
      <w:r>
        <w:rPr>
          <w:lang w:eastAsia="da-DK"/>
        </w:rPr>
        <w:t xml:space="preserve">age-appropriate content, drawing on </w:t>
      </w:r>
      <w:r w:rsidR="00854B7B">
        <w:rPr>
          <w:lang w:eastAsia="da-DK"/>
        </w:rPr>
        <w:t>world near to the child</w:t>
      </w:r>
      <w:r w:rsidR="00F90034">
        <w:rPr>
          <w:lang w:eastAsia="da-DK"/>
        </w:rPr>
        <w:t>, and work frequently to foster children’s ability to unify elements of an indeterminate situation</w:t>
      </w:r>
      <w:r>
        <w:rPr>
          <w:lang w:eastAsia="da-DK"/>
        </w:rPr>
        <w:t>.</w:t>
      </w:r>
      <w:r w:rsidR="00854B7B">
        <w:rPr>
          <w:lang w:eastAsia="da-DK"/>
        </w:rPr>
        <w:t xml:space="preserve"> Combined with metacognitive, conceptual, and social regulation (</w:t>
      </w:r>
      <w:proofErr w:type="spellStart"/>
      <w:r w:rsidR="00854B7B">
        <w:rPr>
          <w:lang w:eastAsia="da-DK"/>
        </w:rPr>
        <w:t>Dobber</w:t>
      </w:r>
      <w:proofErr w:type="spellEnd"/>
      <w:r w:rsidR="00854B7B">
        <w:rPr>
          <w:lang w:eastAsia="da-DK"/>
        </w:rPr>
        <w:t xml:space="preserve"> et al 2017), continuous negotiation between developing competencies, child exploration and modelling scientific practices, might constitute </w:t>
      </w:r>
      <w:r w:rsidR="00F90034">
        <w:rPr>
          <w:lang w:eastAsia="da-DK"/>
        </w:rPr>
        <w:t xml:space="preserve">such </w:t>
      </w:r>
      <w:r w:rsidR="00854B7B">
        <w:rPr>
          <w:lang w:eastAsia="da-DK"/>
        </w:rPr>
        <w:t xml:space="preserve">a holistic or whole-child approach. </w:t>
      </w:r>
    </w:p>
    <w:p w14:paraId="580C037B" w14:textId="5FEE6E35" w:rsidR="000B2BF5" w:rsidRDefault="009863EC" w:rsidP="000B2BF5">
      <w:pPr>
        <w:pStyle w:val="Newparagraph"/>
        <w:rPr>
          <w:lang w:eastAsia="da-DK"/>
        </w:rPr>
      </w:pPr>
      <w:r>
        <w:rPr>
          <w:lang w:eastAsia="da-DK"/>
        </w:rPr>
        <w:t>We</w:t>
      </w:r>
      <w:r w:rsidR="00091B39" w:rsidRPr="003E7744">
        <w:rPr>
          <w:lang w:eastAsia="da-DK"/>
        </w:rPr>
        <w:t xml:space="preserve"> believe important questions remain: In what way is </w:t>
      </w:r>
      <w:r w:rsidR="00840F1E">
        <w:rPr>
          <w:i/>
          <w:iCs/>
          <w:u w:val="single"/>
          <w:lang w:eastAsia="da-DK"/>
        </w:rPr>
        <w:t>M</w:t>
      </w:r>
      <w:r w:rsidR="00091B39" w:rsidRPr="003E7744">
        <w:rPr>
          <w:i/>
          <w:iCs/>
          <w:u w:val="single"/>
          <w:lang w:eastAsia="da-DK"/>
        </w:rPr>
        <w:t xml:space="preserve">odelling scientific </w:t>
      </w:r>
      <w:r w:rsidR="00840F1E">
        <w:rPr>
          <w:i/>
          <w:iCs/>
          <w:u w:val="single"/>
          <w:lang w:eastAsia="da-DK"/>
        </w:rPr>
        <w:t>practice</w:t>
      </w:r>
      <w:r w:rsidR="00840F1E">
        <w:rPr>
          <w:lang w:eastAsia="da-DK"/>
        </w:rPr>
        <w:t xml:space="preserve"> v</w:t>
      </w:r>
      <w:r w:rsidR="00091B39" w:rsidRPr="003E7744">
        <w:rPr>
          <w:lang w:eastAsia="da-DK"/>
        </w:rPr>
        <w:t xml:space="preserve">aluable from the child's perspective? How can a </w:t>
      </w:r>
      <w:r w:rsidR="00091B39" w:rsidRPr="003E7744">
        <w:rPr>
          <w:i/>
          <w:iCs/>
          <w:u w:val="single"/>
          <w:lang w:eastAsia="da-DK"/>
        </w:rPr>
        <w:t>child's exploration</w:t>
      </w:r>
      <w:r w:rsidR="00840F1E">
        <w:rPr>
          <w:i/>
          <w:iCs/>
          <w:u w:val="single"/>
          <w:lang w:eastAsia="da-DK"/>
        </w:rPr>
        <w:t>/</w:t>
      </w:r>
      <w:r w:rsidR="00091B39" w:rsidRPr="003E7744">
        <w:rPr>
          <w:i/>
          <w:iCs/>
          <w:u w:val="single"/>
          <w:lang w:eastAsia="da-DK"/>
        </w:rPr>
        <w:t>experience</w:t>
      </w:r>
      <w:r w:rsidR="00840F1E">
        <w:rPr>
          <w:i/>
          <w:iCs/>
          <w:u w:val="single"/>
          <w:lang w:eastAsia="da-DK"/>
        </w:rPr>
        <w:t xml:space="preserve"> </w:t>
      </w:r>
      <w:r w:rsidR="00091B39" w:rsidRPr="003E7744">
        <w:rPr>
          <w:lang w:eastAsia="da-DK"/>
        </w:rPr>
        <w:t xml:space="preserve">open for qualified science experiences in early childhood? Which competencies should be developed during early childhood?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w:t>
      </w:r>
      <w:r>
        <w:rPr>
          <w:lang w:eastAsia="da-DK"/>
        </w:rPr>
        <w:lastRenderedPageBreak/>
        <w:t xml:space="preserve">published methods (AUTHORS 2019, AUTHORS </w:t>
      </w:r>
      <w:r>
        <w:rPr>
          <w:i/>
          <w:iCs/>
          <w:lang w:eastAsia="da-DK"/>
        </w:rPr>
        <w:t>in press</w:t>
      </w:r>
      <w:r>
        <w:rPr>
          <w:lang w:eastAsia="da-DK"/>
        </w:rPr>
        <w:t xml:space="preserve">), and thus shares methodological issues with methods. The issues include, whether the products of our 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w:t>
      </w:r>
      <w:r>
        <w:rPr>
          <w:lang w:eastAsia="da-DK"/>
        </w:rPr>
        <w:lastRenderedPageBreak/>
        <w:t xml:space="preserve">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lastRenderedPageBreak/>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60E76569" w14:textId="1D0FE363" w:rsidR="00F94DD3" w:rsidRDefault="00F94DD3" w:rsidP="00091B39">
      <w:pPr>
        <w:pStyle w:val="References"/>
      </w:pPr>
      <w:r>
        <w:t>AUTHORS (2012)</w:t>
      </w:r>
    </w:p>
    <w:p w14:paraId="0ECEB53C" w14:textId="6C8FBA35" w:rsidR="00091B39" w:rsidRPr="003B1FAF" w:rsidRDefault="00091B39" w:rsidP="00091B39">
      <w:pPr>
        <w:pStyle w:val="References"/>
      </w:pPr>
      <w:r w:rsidRPr="003B1FAF">
        <w:t>AUTHOR</w:t>
      </w:r>
      <w:r w:rsidR="00F94DD3">
        <w:t>S</w:t>
      </w:r>
      <w:r w:rsidRPr="003B1FAF">
        <w:t xml:space="preserve"> (201</w:t>
      </w:r>
      <w:r>
        <w:t>9</w:t>
      </w:r>
      <w:r w:rsidRPr="003B1FAF">
        <w:t>)</w:t>
      </w:r>
    </w:p>
    <w:p w14:paraId="2B0B70C7" w14:textId="629AED55" w:rsidR="00091B39" w:rsidRPr="003B1FAF" w:rsidRDefault="00091B39" w:rsidP="00091B39">
      <w:pPr>
        <w:pStyle w:val="References"/>
      </w:pPr>
      <w:r w:rsidRPr="003B1FAF">
        <w:t>AUTHOR</w:t>
      </w:r>
      <w:r w:rsidR="00F94DD3">
        <w:t xml:space="preserve">S </w:t>
      </w:r>
      <w:r w:rsidRPr="003B1FAF">
        <w:t xml:space="preserve">(in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lastRenderedPageBreak/>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2"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7E5BD2AF" w14:textId="77777777" w:rsidR="000B2BF5" w:rsidRDefault="00091B39" w:rsidP="000B2BF5">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1D782D43" w14:textId="23AE826E" w:rsidR="000B2BF5" w:rsidRPr="005E455B" w:rsidRDefault="000B2BF5" w:rsidP="000B2BF5">
      <w:pPr>
        <w:pStyle w:val="References"/>
      </w:pPr>
      <w:proofErr w:type="spellStart"/>
      <w:r w:rsidRPr="000B2BF5">
        <w:rPr>
          <w:lang w:val="en-US"/>
        </w:rPr>
        <w:t>Dobber</w:t>
      </w:r>
      <w:proofErr w:type="spellEnd"/>
      <w:r w:rsidRPr="000B2BF5">
        <w:rPr>
          <w:lang w:val="en-US"/>
        </w:rPr>
        <w:t xml:space="preserve">, M., Zwart, R., Tanis, M., &amp; van </w:t>
      </w:r>
      <w:proofErr w:type="spellStart"/>
      <w:r w:rsidRPr="000B2BF5">
        <w:rPr>
          <w:lang w:val="en-US"/>
        </w:rPr>
        <w:t>Oers</w:t>
      </w:r>
      <w:proofErr w:type="spellEnd"/>
      <w:r w:rsidRPr="000B2BF5">
        <w:rPr>
          <w:lang w:val="en-US"/>
        </w:rPr>
        <w:t xml:space="preserve">, B. (2017). </w:t>
      </w:r>
      <w:r>
        <w:t xml:space="preserve">Literature review: The role of the teacher in inquiry-based education. </w:t>
      </w:r>
      <w:r>
        <w:rPr>
          <w:i/>
          <w:iCs/>
        </w:rPr>
        <w:t>Educational Research Review</w:t>
      </w:r>
      <w:r>
        <w:t xml:space="preserve">, </w:t>
      </w:r>
      <w:r>
        <w:rPr>
          <w:i/>
          <w:iCs/>
        </w:rPr>
        <w:t>22</w:t>
      </w:r>
      <w:r>
        <w:t>, 194-214.</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lastRenderedPageBreak/>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3"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pPr>
      <w:r w:rsidRPr="004146CC">
        <w:t xml:space="preserve">Hattie, J., &amp; Timperley, H. (2007). The power of feedback. </w:t>
      </w:r>
      <w:r w:rsidRPr="004146CC">
        <w:rPr>
          <w:i/>
          <w:iCs/>
        </w:rPr>
        <w:t>Review of educational research</w:t>
      </w:r>
      <w:r w:rsidRPr="004146CC">
        <w:t xml:space="preserve">, </w:t>
      </w:r>
      <w:r w:rsidRPr="004146CC">
        <w:rPr>
          <w:i/>
          <w:iCs/>
        </w:rPr>
        <w:t>77</w:t>
      </w:r>
      <w:r w:rsidRPr="004146CC">
        <w:t>(1), 81-112.</w:t>
      </w:r>
    </w:p>
    <w:p w14:paraId="2201C678" w14:textId="2320AE49" w:rsidR="004146CC" w:rsidRPr="004146CC" w:rsidRDefault="004146CC" w:rsidP="004146CC">
      <w:pPr>
        <w:pStyle w:val="References"/>
      </w:pPr>
      <w:r w:rsidRPr="004146CC">
        <w:lastRenderedPageBreak/>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34D09562" w14:textId="77777777" w:rsidR="0074765B" w:rsidRDefault="00091B39" w:rsidP="0074765B">
      <w:pPr>
        <w:pStyle w:val="References"/>
        <w:rPr>
          <w:color w:val="000000"/>
          <w:lang w:eastAsia="da-DK"/>
        </w:rPr>
      </w:pPr>
      <w:proofErr w:type="spellStart"/>
      <w:r w:rsidRPr="0074765B">
        <w:rPr>
          <w:color w:val="000000"/>
          <w:lang w:val="da-DK" w:eastAsia="da-DK"/>
        </w:rPr>
        <w:t>Lanphear</w:t>
      </w:r>
      <w:proofErr w:type="spellEnd"/>
      <w:r w:rsidRPr="0074765B">
        <w:rPr>
          <w:color w:val="000000"/>
          <w:lang w:val="da-DK" w:eastAsia="da-DK"/>
        </w:rPr>
        <w:t xml:space="preserve">, J., &amp; </w:t>
      </w:r>
      <w:proofErr w:type="spellStart"/>
      <w:r w:rsidRPr="0074765B">
        <w:rPr>
          <w:color w:val="000000"/>
          <w:lang w:val="da-DK" w:eastAsia="da-DK"/>
        </w:rPr>
        <w:t>Vandermaas-Peeler</w:t>
      </w:r>
      <w:proofErr w:type="spellEnd"/>
      <w:r w:rsidRPr="0074765B">
        <w:rPr>
          <w:color w:val="000000"/>
          <w:lang w:val="da-DK" w:eastAsia="da-DK"/>
        </w:rPr>
        <w:t xml:space="preserve">,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r w:rsidR="0074765B">
        <w:rPr>
          <w:color w:val="000000"/>
          <w:lang w:eastAsia="da-DK"/>
        </w:rPr>
        <w:t xml:space="preserve"> </w:t>
      </w:r>
    </w:p>
    <w:p w14:paraId="28A30A57" w14:textId="40FFA8B8" w:rsidR="0074765B" w:rsidRPr="0074765B" w:rsidRDefault="0074765B" w:rsidP="0074765B">
      <w:pPr>
        <w:pStyle w:val="References"/>
        <w:rPr>
          <w:color w:val="000000"/>
          <w:lang w:eastAsia="da-DK"/>
        </w:rPr>
      </w:pPr>
      <w:r>
        <w:t xml:space="preserve">Larimore, R. A. (2020). Preschool Science Education: A Vision for the Future. </w:t>
      </w:r>
      <w:r>
        <w:rPr>
          <w:i/>
          <w:iCs/>
        </w:rPr>
        <w:t>Early Childhood Education Journal</w:t>
      </w:r>
      <w:r>
        <w:t>, 1-12.</w:t>
      </w:r>
    </w:p>
    <w:p w14:paraId="786AC470" w14:textId="77777777" w:rsidR="00091B39" w:rsidRPr="003E7744" w:rsidRDefault="00091B39" w:rsidP="00091B39">
      <w:pPr>
        <w:pStyle w:val="References"/>
        <w:rPr>
          <w:lang w:eastAsia="da-DK"/>
        </w:rPr>
      </w:pPr>
      <w:r w:rsidRPr="003E7744">
        <w:rPr>
          <w:color w:val="000000"/>
          <w:lang w:eastAsia="da-DK"/>
        </w:rPr>
        <w:lastRenderedPageBreak/>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083C4F08" w14:textId="77777777" w:rsidR="0060161B" w:rsidRDefault="00091B39" w:rsidP="0060161B">
      <w:pPr>
        <w:pStyle w:val="References"/>
        <w:rPr>
          <w:color w:val="000000"/>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168F7547" w14:textId="0CB08DFF" w:rsidR="0060161B" w:rsidRPr="0060161B" w:rsidRDefault="0060161B" w:rsidP="0060161B">
      <w:pPr>
        <w:pStyle w:val="References"/>
        <w:rPr>
          <w:color w:val="000000"/>
          <w:lang w:eastAsia="da-DK"/>
        </w:rPr>
      </w:pPr>
      <w:r>
        <w:t xml:space="preserve">McGuigan, L., &amp; Russell, T. (2018). Reflections on guidance to orientate untrained practitioners towards authentic science for children in the early years. </w:t>
      </w:r>
      <w:r>
        <w:rPr>
          <w:i/>
          <w:iCs/>
        </w:rPr>
        <w:t>Editorial Contributions</w:t>
      </w:r>
      <w:r>
        <w:t>, 28.</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lastRenderedPageBreak/>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lastRenderedPageBreak/>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6E54B" w14:textId="77777777" w:rsidR="007D3AAF" w:rsidRDefault="007D3AAF" w:rsidP="00AF2C92">
      <w:r>
        <w:separator/>
      </w:r>
    </w:p>
  </w:endnote>
  <w:endnote w:type="continuationSeparator" w:id="0">
    <w:p w14:paraId="4CDDF194" w14:textId="77777777" w:rsidR="007D3AAF" w:rsidRDefault="007D3AA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15059" w14:textId="77777777" w:rsidR="007D3AAF" w:rsidRDefault="007D3AAF" w:rsidP="00AF2C92">
      <w:r>
        <w:separator/>
      </w:r>
    </w:p>
  </w:footnote>
  <w:footnote w:type="continuationSeparator" w:id="0">
    <w:p w14:paraId="04EDB70E" w14:textId="77777777" w:rsidR="007D3AAF" w:rsidRDefault="007D3AAF"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1AB"/>
    <w:rsid w:val="0000681B"/>
    <w:rsid w:val="0001073F"/>
    <w:rsid w:val="00011325"/>
    <w:rsid w:val="000133C0"/>
    <w:rsid w:val="00014C4E"/>
    <w:rsid w:val="00017107"/>
    <w:rsid w:val="000202E2"/>
    <w:rsid w:val="00022441"/>
    <w:rsid w:val="0002261E"/>
    <w:rsid w:val="000229DD"/>
    <w:rsid w:val="00024839"/>
    <w:rsid w:val="00026871"/>
    <w:rsid w:val="00037A98"/>
    <w:rsid w:val="00040DCE"/>
    <w:rsid w:val="000427FB"/>
    <w:rsid w:val="0004455E"/>
    <w:rsid w:val="00045F75"/>
    <w:rsid w:val="00047CB5"/>
    <w:rsid w:val="00051FAA"/>
    <w:rsid w:val="000572A9"/>
    <w:rsid w:val="00061325"/>
    <w:rsid w:val="0006243E"/>
    <w:rsid w:val="0007029D"/>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B6B"/>
    <w:rsid w:val="000A6D40"/>
    <w:rsid w:val="000A7BC3"/>
    <w:rsid w:val="000B1661"/>
    <w:rsid w:val="000B1F0B"/>
    <w:rsid w:val="000B2BF5"/>
    <w:rsid w:val="000B2E88"/>
    <w:rsid w:val="000B4603"/>
    <w:rsid w:val="000C09BE"/>
    <w:rsid w:val="000C1380"/>
    <w:rsid w:val="000C554F"/>
    <w:rsid w:val="000D0DC5"/>
    <w:rsid w:val="000D15FF"/>
    <w:rsid w:val="000D28DF"/>
    <w:rsid w:val="000D488B"/>
    <w:rsid w:val="000D68DF"/>
    <w:rsid w:val="000E138D"/>
    <w:rsid w:val="000E187A"/>
    <w:rsid w:val="000E1A32"/>
    <w:rsid w:val="000E2D61"/>
    <w:rsid w:val="000E450E"/>
    <w:rsid w:val="000E6259"/>
    <w:rsid w:val="000F3D9C"/>
    <w:rsid w:val="000F4677"/>
    <w:rsid w:val="000F5BE0"/>
    <w:rsid w:val="000F6EDE"/>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1ABA"/>
    <w:rsid w:val="001E6302"/>
    <w:rsid w:val="001E7DCB"/>
    <w:rsid w:val="001F3411"/>
    <w:rsid w:val="001F4287"/>
    <w:rsid w:val="001F4DBA"/>
    <w:rsid w:val="0020415E"/>
    <w:rsid w:val="00204FF4"/>
    <w:rsid w:val="0020707D"/>
    <w:rsid w:val="0021056E"/>
    <w:rsid w:val="0021075D"/>
    <w:rsid w:val="0021165A"/>
    <w:rsid w:val="00211BC9"/>
    <w:rsid w:val="0021620C"/>
    <w:rsid w:val="00216E78"/>
    <w:rsid w:val="00217275"/>
    <w:rsid w:val="002211DD"/>
    <w:rsid w:val="002268D9"/>
    <w:rsid w:val="00236392"/>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D7E5F"/>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6406"/>
    <w:rsid w:val="003275D1"/>
    <w:rsid w:val="00330B2A"/>
    <w:rsid w:val="00331E17"/>
    <w:rsid w:val="00333063"/>
    <w:rsid w:val="003408E3"/>
    <w:rsid w:val="00343480"/>
    <w:rsid w:val="00345E89"/>
    <w:rsid w:val="003522A1"/>
    <w:rsid w:val="0035254B"/>
    <w:rsid w:val="00353555"/>
    <w:rsid w:val="00353EBE"/>
    <w:rsid w:val="003565D4"/>
    <w:rsid w:val="003607FB"/>
    <w:rsid w:val="00360FD5"/>
    <w:rsid w:val="0036210A"/>
    <w:rsid w:val="00362349"/>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34BA"/>
    <w:rsid w:val="003A41DD"/>
    <w:rsid w:val="003A7033"/>
    <w:rsid w:val="003B47FE"/>
    <w:rsid w:val="003B5673"/>
    <w:rsid w:val="003B6287"/>
    <w:rsid w:val="003B62C9"/>
    <w:rsid w:val="003C7176"/>
    <w:rsid w:val="003D0929"/>
    <w:rsid w:val="003D468F"/>
    <w:rsid w:val="003D4729"/>
    <w:rsid w:val="003D7DD6"/>
    <w:rsid w:val="003E5AAF"/>
    <w:rsid w:val="003E600D"/>
    <w:rsid w:val="003E62E0"/>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87605"/>
    <w:rsid w:val="004930C6"/>
    <w:rsid w:val="00493347"/>
    <w:rsid w:val="00496092"/>
    <w:rsid w:val="004A08DB"/>
    <w:rsid w:val="004A25D0"/>
    <w:rsid w:val="004A37E8"/>
    <w:rsid w:val="004A7549"/>
    <w:rsid w:val="004B09D4"/>
    <w:rsid w:val="004B309D"/>
    <w:rsid w:val="004B330A"/>
    <w:rsid w:val="004B7C8E"/>
    <w:rsid w:val="004C3D3C"/>
    <w:rsid w:val="004C5DA7"/>
    <w:rsid w:val="004D0EDC"/>
    <w:rsid w:val="004D1220"/>
    <w:rsid w:val="004D14B3"/>
    <w:rsid w:val="004D1529"/>
    <w:rsid w:val="004D2253"/>
    <w:rsid w:val="004D4F79"/>
    <w:rsid w:val="004D5514"/>
    <w:rsid w:val="004D56C3"/>
    <w:rsid w:val="004E0338"/>
    <w:rsid w:val="004E0602"/>
    <w:rsid w:val="004E2D11"/>
    <w:rsid w:val="004E4FF3"/>
    <w:rsid w:val="004E56A8"/>
    <w:rsid w:val="004F027E"/>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4E2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161B"/>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14A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28E4"/>
    <w:rsid w:val="006E325A"/>
    <w:rsid w:val="006E33EC"/>
    <w:rsid w:val="006E3802"/>
    <w:rsid w:val="006E6C02"/>
    <w:rsid w:val="006F231A"/>
    <w:rsid w:val="006F6B55"/>
    <w:rsid w:val="006F788D"/>
    <w:rsid w:val="006F78E1"/>
    <w:rsid w:val="00701072"/>
    <w:rsid w:val="00702054"/>
    <w:rsid w:val="007035A4"/>
    <w:rsid w:val="007073B0"/>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4765B"/>
    <w:rsid w:val="007516DC"/>
    <w:rsid w:val="00752E58"/>
    <w:rsid w:val="007535F5"/>
    <w:rsid w:val="00754B80"/>
    <w:rsid w:val="00761918"/>
    <w:rsid w:val="00762F03"/>
    <w:rsid w:val="0076413B"/>
    <w:rsid w:val="007648AE"/>
    <w:rsid w:val="00764BF8"/>
    <w:rsid w:val="0076514D"/>
    <w:rsid w:val="0076734E"/>
    <w:rsid w:val="00773B22"/>
    <w:rsid w:val="00773D59"/>
    <w:rsid w:val="00773D89"/>
    <w:rsid w:val="00781003"/>
    <w:rsid w:val="007911FD"/>
    <w:rsid w:val="00793930"/>
    <w:rsid w:val="00793DD1"/>
    <w:rsid w:val="00794D6D"/>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3AAF"/>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0F1E"/>
    <w:rsid w:val="00841CE1"/>
    <w:rsid w:val="008473D8"/>
    <w:rsid w:val="008528DC"/>
    <w:rsid w:val="00852B8C"/>
    <w:rsid w:val="00854981"/>
    <w:rsid w:val="00854B7B"/>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1E1F"/>
    <w:rsid w:val="009262C9"/>
    <w:rsid w:val="00930EB9"/>
    <w:rsid w:val="00933DC7"/>
    <w:rsid w:val="009418F4"/>
    <w:rsid w:val="00942BBC"/>
    <w:rsid w:val="00942CDB"/>
    <w:rsid w:val="00944180"/>
    <w:rsid w:val="00944AA0"/>
    <w:rsid w:val="00947698"/>
    <w:rsid w:val="00947DA2"/>
    <w:rsid w:val="00951177"/>
    <w:rsid w:val="009536D7"/>
    <w:rsid w:val="009673E8"/>
    <w:rsid w:val="00974DB8"/>
    <w:rsid w:val="00980661"/>
    <w:rsid w:val="0098093B"/>
    <w:rsid w:val="009863EC"/>
    <w:rsid w:val="009876D4"/>
    <w:rsid w:val="009914A5"/>
    <w:rsid w:val="0099548E"/>
    <w:rsid w:val="00996456"/>
    <w:rsid w:val="00996A12"/>
    <w:rsid w:val="00997B0F"/>
    <w:rsid w:val="009A0CC3"/>
    <w:rsid w:val="009A1CAD"/>
    <w:rsid w:val="009A3440"/>
    <w:rsid w:val="009A37BC"/>
    <w:rsid w:val="009A4234"/>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3FAC"/>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98A"/>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4B6C"/>
    <w:rsid w:val="00C65B36"/>
    <w:rsid w:val="00C718A8"/>
    <w:rsid w:val="00C7292E"/>
    <w:rsid w:val="00C74E88"/>
    <w:rsid w:val="00C80924"/>
    <w:rsid w:val="00C8286B"/>
    <w:rsid w:val="00C947F8"/>
    <w:rsid w:val="00C9515F"/>
    <w:rsid w:val="00C963C5"/>
    <w:rsid w:val="00CA004D"/>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399F"/>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87BB4"/>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3DD"/>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47EDA"/>
    <w:rsid w:val="00E50367"/>
    <w:rsid w:val="00E505FC"/>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E37B6"/>
    <w:rsid w:val="00EF0F45"/>
    <w:rsid w:val="00EF7463"/>
    <w:rsid w:val="00EF7971"/>
    <w:rsid w:val="00F002EF"/>
    <w:rsid w:val="00F01EE9"/>
    <w:rsid w:val="00F04900"/>
    <w:rsid w:val="00F04C61"/>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0034"/>
    <w:rsid w:val="00F93D8C"/>
    <w:rsid w:val="00F94DD3"/>
    <w:rsid w:val="00FA3102"/>
    <w:rsid w:val="00FA48D4"/>
    <w:rsid w:val="00FA4FA5"/>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ych.auckland.ac.nz/en/about/thematic-analys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1085</TotalTime>
  <Pages>37</Pages>
  <Words>9579</Words>
  <Characters>54603</Characters>
  <Application>Microsoft Office Word</Application>
  <DocSecurity>0</DocSecurity>
  <Lines>455</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64054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17</cp:revision>
  <cp:lastPrinted>2020-12-09T21:35:00Z</cp:lastPrinted>
  <dcterms:created xsi:type="dcterms:W3CDTF">2020-12-04T12:15:00Z</dcterms:created>
  <dcterms:modified xsi:type="dcterms:W3CDTF">2020-12-09T22:29:00Z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