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 xml:space="preserve">BITÁCORA DIGITAL</w:t>
      </w:r>
    </w:p>
    <w:p>
      <w:pPr>
        <w:spacing w:after="300"/>
        <w:jc w:val="center"/>
      </w:pPr>
      <w:r>
        <w:rPr>
          <w:b/>
          <w:bCs/>
          <w:color w:val="444444"/>
          <w:sz w:val="24"/>
          <w:szCs w:val="24"/>
        </w:rPr>
        <w:t xml:space="preserve">Aplicar Ciclos de Vida de Sistemas de Software Seguro (S-SDLC)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Especialidad Técnica</w:t>
            </w:r>
          </w:p>
        </w:tc>
        <w:tc>
          <w:tcPr>
            <w:tcW w:type="dxa" w:w="7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Ciberseguridad — 11° año</w:t>
            </w:r>
          </w:p>
        </w:tc>
      </w:tr>
      <w:tr>
        <w:tc>
          <w:tcPr>
            <w:tcW w:type="dxa" w:w="2500"/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7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Ciclos de vida de sistemas de software seguro y supervivencia de aplicaciones</w:t>
            </w:r>
          </w:p>
        </w:tc>
      </w:tr>
      <w:tr>
        <w:tc>
          <w:tcPr>
            <w:tcW w:type="dxa" w:w="2500"/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 de la sesión</w:t>
            </w:r>
          </w:p>
        </w:tc>
        <w:tc>
          <w:tcPr>
            <w:tcW w:type="dxa" w:w="7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de julio de 2026</w:t>
            </w:r>
          </w:p>
        </w:tc>
      </w:tr>
      <w:tr>
        <w:tc>
          <w:tcPr>
            <w:tcW w:type="dxa" w:w="2500"/>
            <w:shd w:fill="DAE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Herramienta utilizada</w:t>
            </w:r>
          </w:p>
        </w:tc>
        <w:tc>
          <w:tcPr>
            <w:tcW w:type="dxa" w:w="7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Asistente Claude (Anthropic) — generación asistida de esquemas en Draw.io</w:t>
            </w:r>
          </w:p>
        </w:tc>
      </w:tr>
    </w:tbl>
    <w:p>
      <w:pPr>
        <w:spacing w:after="200"/>
      </w:pPr>
    </w:p>
    <w:p>
      <w:pPr>
        <w:pStyle w:val="Heading1"/>
        <w:spacing w:after="120" w:before="100"/>
      </w:pPr>
      <w:r>
        <w:rPr>
          <w:b/>
          <w:bCs/>
          <w:color w:val="1F4E79"/>
        </w:rPr>
        <w:t xml:space="preserve">1. Objetivo de la sesión</w:t>
      </w:r>
    </w:p>
    <w:p>
      <w:pPr>
        <w:spacing w:after="200"/>
      </w:pPr>
      <w:r>
        <w:t xml:space="preserve">Elaborar los productos gráficos solicitados por la guía de la especialidad (esquema de flujo digital de las etapas del S-SDLC), utilizando como base la guía teórica “Ciclos de Vida de Sistemas de Software Seguro y Supervivencia de Aplicaciones”, con el fin de completar la evidencia requerida antes de subirla al formulario de Microsoft Forms.</w:t>
      </w:r>
    </w:p>
    <w:p>
      <w:pPr>
        <w:pStyle w:val="Heading1"/>
        <w:spacing w:after="120" w:before="100"/>
      </w:pPr>
      <w:r>
        <w:rPr>
          <w:b/>
          <w:bCs/>
          <w:color w:val="1F4E79"/>
        </w:rPr>
        <w:t xml:space="preserve">2. Actividades realizadas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2.1 Diagrama de flujo de las fases del S-SDLC</w:t>
      </w:r>
    </w:p>
    <w:p>
      <w:pPr>
        <w:spacing w:after="80"/>
      </w:pPr>
      <w:r>
        <w:t xml:space="preserve">Se construyó un diagrama de flujo en formato Draw.io (.drawio) que representa de forma secuencial las seis fases del ciclo de desarrollo seguro descritas en la guía: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Planificación y Requisitos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Análisis y Diseño Seguro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Codificación (Desarrollo)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Pruebas de Seguridad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Implementación y Lanzamiento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Mantenimiento Continuo</w:t>
      </w:r>
    </w:p>
    <w:p>
      <w:pPr>
        <w:spacing w:after="200" w:before="100"/>
      </w:pPr>
      <w:r>
        <w:t xml:space="preserve">Cada bloque incluye sus actividades clave y se conectan mediante flechas que muestran el orden del proceso, además de una flecha punteada de retroalimentación que representa el carácter cíclico y continuo del ciclo de vida seguro.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2.2 Esquema conceptual general del S-SDLC</w:t>
      </w:r>
    </w:p>
    <w:p>
      <w:pPr>
        <w:spacing w:after="80"/>
      </w:pPr>
      <w:r>
        <w:t xml:space="preserve">A solicitud del usuario, se elaboró un segundo esquema en Draw.io con estructura de mapa conceptual, organizado en un nodo central y cinco ramas temáticas que resumen todo el contenido de la guía: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Fases del ciclo seguro (las seis etapas con sus actividades principales)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Conceptos clave (S-SDLC, supervivencia, vulnerabilidad, mecanismos de protección, estrategia de recuperación)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Estrategias de supervivencia de sistemas (Resistencia, Reconocimiento, Recuperación, Adaptación)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Mitos y realidades (los tres mitos comunes sobre seguridad y su explicación técnica)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Marcos de referencia (NIST SSDF, OWASP SAMM, ISO/IEC 27034, Microsoft SDL, herramientas de GitHub)</w:t>
      </w:r>
    </w:p>
    <w:p>
      <w:pPr>
        <w:spacing w:after="100"/>
      </w:pPr>
    </w:p>
    <w:p>
      <w:pPr>
        <w:pStyle w:val="Heading1"/>
        <w:spacing w:after="120" w:before="100"/>
      </w:pPr>
      <w:r>
        <w:rPr>
          <w:b/>
          <w:bCs/>
          <w:color w:val="1F4E79"/>
        </w:rPr>
        <w:t xml:space="preserve">3. Archivos generados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480"/>
        <w:gridCol w:w="3000"/>
      </w:tblGrid>
      <w:tr>
        <w:tc>
          <w:tcPr>
            <w:tcW w:type="dxa" w:w="3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348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Contenido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Flujo_SSDLC.drawio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Diagrama de flujo secuencial de las 6 fases del S-SDLC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Draw.io / diagrams.net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Esquema_SSDLC.drawio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Esquema conceptual completo: fases, conceptos, estrategias, mitos y marcos de referencia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Draw.io / diagrams.net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Bitácora digital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Registro de las actividades realizadas en esta sesión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Word (.docx)</w:t>
            </w:r>
          </w:p>
        </w:tc>
      </w:tr>
    </w:tbl>
    <w:p>
      <w:pPr>
        <w:spacing w:after="200"/>
      </w:pPr>
    </w:p>
    <w:p>
      <w:pPr>
        <w:pStyle w:val="Heading1"/>
        <w:spacing w:after="120" w:before="100"/>
      </w:pPr>
      <w:r>
        <w:rPr>
          <w:b/>
          <w:bCs/>
          <w:color w:val="1F4E79"/>
        </w:rPr>
        <w:t xml:space="preserve">4. Aprendizajes y observaciones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Organizar el S-SDLC en un diagrama visual facilita comprender que la seguridad no es una fase aislada, sino un proceso presente en todo el ciclo de vida del software.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esquema conceptual permitió relacionar las fases del desarrollo con las estrategias de supervivencia y los marcos de referencia de la industria, evidenciando cómo se aplican en la práctica.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Quedó pendiente exportar ambos diagramas como imagen y subirlos al formulario de Microsoft Forms indicado en la guía, además de continuar la práctica de laboratorio en GitHub bajo la metodología Scrum.</w:t>
      </w:r>
    </w:p>
    <w:p>
      <w:pPr>
        <w:spacing w:after="300"/>
      </w:pPr>
    </w:p>
    <w:p>
      <w:pPr>
        <w:jc w:val="right"/>
      </w:pPr>
      <w:r>
        <w:rPr>
          <w:i/>
          <w:iCs/>
          <w:color w:val="888888"/>
          <w:sz w:val="18"/>
          <w:szCs w:val="18"/>
        </w:rPr>
        <w:t xml:space="preserve">Bitácora generada el 30 de julio de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2026-07-30T14:42:10.162Z</dcterms:created>
  <dcterms:modified xsi:type="dcterms:W3CDTF">2026-07-30T14:42:10.176Z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