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drawing>
          <wp:inline distT="0" distB="0" distL="0" distR="0">
            <wp:extent cx="161925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00"/>
      </w:pPr>
    </w:p>
    <w:p>
      <w:pPr>
        <w:jc w:val="center"/>
      </w:pPr>
      <w:r>
        <w:rPr>
          <w:rFonts w:ascii="Open Sans" w:cs="Open Sans" w:eastAsia="Open Sans" w:hAnsi="Open Sans"/>
          <w:b/>
          <w:bCs/>
          <w:color w:val="3490CE"/>
          <w:spacing w:val="40"/>
          <w:sz w:val="22"/>
          <w:szCs w:val="22"/>
        </w:rPr>
        <w:t xml:space="preserve">DOSSIÊ TÉCNICO</w:t>
      </w:r>
    </w:p>
    <w:p>
      <w:pPr>
        <w:spacing w:before="260"/>
        <w:jc w:val="center"/>
      </w:pPr>
      <w:r>
        <w:rPr>
          <w:rFonts w:ascii="Open Sans" w:cs="Open Sans" w:eastAsia="Open Sans" w:hAnsi="Open Sans"/>
          <w:b/>
          <w:bCs/>
          <w:color w:val="005CA8"/>
          <w:sz w:val="40"/>
          <w:szCs w:val="40"/>
        </w:rPr>
        <w:t xml:space="preserve">Sistema de Geração Automática de</w:t>
      </w:r>
    </w:p>
    <w:p>
      <w:pPr>
        <w:spacing w:after="500"/>
        <w:jc w:val="center"/>
      </w:pPr>
      <w:r>
        <w:rPr>
          <w:rFonts w:ascii="Open Sans" w:cs="Open Sans" w:eastAsia="Open Sans" w:hAnsi="Open Sans"/>
          <w:b/>
          <w:bCs/>
          <w:color w:val="005CA8"/>
          <w:sz w:val="40"/>
          <w:szCs w:val="40"/>
        </w:rPr>
        <w:t xml:space="preserve">Editais de Eliminação de Documentos</w:t>
      </w:r>
    </w:p>
    <w:p>
      <w:pPr>
        <w:spacing w:before="700"/>
        <w:jc w:val="center"/>
      </w:pPr>
      <w:r>
        <w:rPr>
          <w:rFonts w:ascii="Open Sans" w:cs="Open Sans" w:eastAsia="Open Sans" w:hAnsi="Open Sans"/>
          <w:color w:val="3A3A3A"/>
          <w:sz w:val="24"/>
          <w:szCs w:val="24"/>
        </w:rPr>
        <w:t xml:space="preserve">Documento explicativo preparado para a Diretoria</w:t>
      </w:r>
    </w:p>
    <w:p>
      <w:pPr>
        <w:spacing w:after="1600" w:before="120"/>
        <w:jc w:val="center"/>
      </w:pPr>
      <w:r>
        <w:rPr>
          <w:rFonts w:ascii="Open Sans" w:cs="Open Sans" w:eastAsia="Open Sans" w:hAnsi="Open Sans"/>
          <w:color w:val="6A6A6A"/>
          <w:sz w:val="20"/>
          <w:szCs w:val="20"/>
        </w:rPr>
        <w:t xml:space="preserve">Divisão de Gestão Documental — DETRAN-SP</w:t>
      </w:r>
    </w:p>
    <w:p>
      <w:pPr>
        <w:jc w:val="center"/>
      </w:pPr>
      <w:r>
        <w:rPr>
          <w:rFonts w:ascii="Open Sans" w:cs="Open Sans" w:eastAsia="Open Sans" w:hAnsi="Open Sans"/>
          <w:color w:val="6A6A6A"/>
          <w:sz w:val="20"/>
          <w:szCs w:val="20"/>
        </w:rPr>
        <w:t xml:space="preserve">Agosto de 2026</w:t>
      </w:r>
    </w:p>
    <w:p>
      <w:pPr>
        <w:sectPr>
          <w:headerReference w:type="first" r:id="rId7"/>
          <w:footerReference w:type="first" r:id="rId8"/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pBdr>
          <w:bottom w:val="single" w:color="3490CE" w:sz="8" w:space="6"/>
        </w:pBdr>
        <w:spacing w:after="200" w:before="420"/>
      </w:pPr>
      <w:r>
        <w:rPr>
          <w:rFonts w:ascii="Open Sans" w:cs="Open Sans" w:eastAsia="Open Sans" w:hAnsi="Open Sans"/>
          <w:b/>
          <w:bCs/>
          <w:color w:val="3490CE"/>
          <w:sz w:val="26"/>
          <w:szCs w:val="26"/>
        </w:rPr>
        <w:t xml:space="preserve">1.  </w:t>
      </w:r>
      <w:r>
        <w:rPr>
          <w:rFonts w:ascii="Open Sans" w:cs="Open Sans" w:eastAsia="Open Sans" w:hAnsi="Open Sans"/>
          <w:b/>
          <w:bCs/>
          <w:color w:val="005CA8"/>
          <w:sz w:val="26"/>
          <w:szCs w:val="26"/>
        </w:rPr>
        <w:t xml:space="preserve">O que é este documento</w:t>
      </w:r>
    </w:p>
    <w:p>
      <w:pPr>
        <w:spacing w:after="160" w:line="300"/>
        <w:jc w:val="both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Este dossiê descreve, com profundidade técnica, o sistema desenvolvido para apoiar a Divisão de Gestão Documental na elaboração dos editais de eliminação de documentos do DETRAN-SP — os avisos públicos, publicados no Diário Oficial, que informam quais documentos serão descartados após o fim de seu prazo legal de guarda.</w:t>
      </w:r>
    </w:p>
    <w:p>
      <w:pPr>
        <w:spacing w:after="160" w:line="300"/>
        <w:jc w:val="both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O objetivo é dar à Diretoria uma visão completa da solução: a arquitetura do sistema, como os dados fluem do preenchimento da planilha até o documento final, as regras de cálculo aplicadas, os mecanismos de validação e tratamento de erros, e indicadores de desempenho medidos a partir do histórico real de editais publicados.</w:t>
      </w:r>
    </w:p>
    <w:p>
      <w:pPr>
        <w:pStyle w:val="Heading1"/>
        <w:pBdr>
          <w:bottom w:val="single" w:color="3490CE" w:sz="8" w:space="6"/>
        </w:pBdr>
        <w:spacing w:after="200" w:before="420"/>
      </w:pPr>
      <w:r>
        <w:rPr>
          <w:rFonts w:ascii="Open Sans" w:cs="Open Sans" w:eastAsia="Open Sans" w:hAnsi="Open Sans"/>
          <w:b/>
          <w:bCs/>
          <w:color w:val="3490CE"/>
          <w:sz w:val="26"/>
          <w:szCs w:val="26"/>
        </w:rPr>
        <w:t xml:space="preserve">2.  </w:t>
      </w:r>
      <w:r>
        <w:rPr>
          <w:rFonts w:ascii="Open Sans" w:cs="Open Sans" w:eastAsia="Open Sans" w:hAnsi="Open Sans"/>
          <w:b/>
          <w:bCs/>
          <w:color w:val="005CA8"/>
          <w:sz w:val="26"/>
          <w:szCs w:val="26"/>
        </w:rPr>
        <w:t xml:space="preserve">O problema que o sistema resolve</w:t>
      </w:r>
    </w:p>
    <w:p>
      <w:pPr>
        <w:spacing w:after="160" w:line="300"/>
        <w:jc w:val="both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Antes da automação, cada edital de eliminação era montado manualmente: alguém precisava consultar a Tabela de Temporalidade de Documentos, copiar e formatar as informações de cada processo, escrever por extenso as quantidades, calcular a metragem dos documentos e revisar o texto legal — tudo isso repetido para cada novo edital.</w:t>
      </w:r>
    </w:p>
    <w:p>
      <w:pPr>
        <w:spacing w:after="160" w:line="300"/>
        <w:jc w:val="both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Esse processo manual toma tempo da equipe e cria oportunidades para pequenos erros de digitação ou de formatação, que em um documento oficial publicado no Diário Oficial podem gerar retrabalho e questionamentos.</w:t>
      </w:r>
    </w:p>
    <w:p>
      <w:pPr>
        <w:pStyle w:val="Heading1"/>
        <w:pBdr>
          <w:bottom w:val="single" w:color="3490CE" w:sz="8" w:space="6"/>
        </w:pBdr>
        <w:spacing w:after="200" w:before="420"/>
      </w:pPr>
      <w:r>
        <w:rPr>
          <w:rFonts w:ascii="Open Sans" w:cs="Open Sans" w:eastAsia="Open Sans" w:hAnsi="Open Sans"/>
          <w:b/>
          <w:bCs/>
          <w:color w:val="3490CE"/>
          <w:sz w:val="26"/>
          <w:szCs w:val="26"/>
        </w:rPr>
        <w:t xml:space="preserve">3.  </w:t>
      </w:r>
      <w:r>
        <w:rPr>
          <w:rFonts w:ascii="Open Sans" w:cs="Open Sans" w:eastAsia="Open Sans" w:hAnsi="Open Sans"/>
          <w:b/>
          <w:bCs/>
          <w:color w:val="005CA8"/>
          <w:sz w:val="26"/>
          <w:szCs w:val="26"/>
        </w:rPr>
        <w:t xml:space="preserve">Arquitetura técnica do sistema</w:t>
      </w:r>
    </w:p>
    <w:p>
      <w:pPr>
        <w:spacing w:after="160" w:line="300"/>
        <w:jc w:val="both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O sistema é um script escrito em Python 3, executado localmente na máquina do usuário, sem depender de servidor ou infraestrutura própria. Ele opera sobre três tipos de arquivo: a planilha de controle (Excel), os modelos de documento (Word) e os editais gerados (Word), todos armazenados na pasta do DETRAN-SP sincronizada via SharePoint/OneDrive — o que permite que o script funcione em qualquer computador da equipe sem alteração de código.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color w:val="004077"/>
          <w:sz w:val="23"/>
          <w:szCs w:val="23"/>
        </w:rPr>
        <w:t xml:space="preserve">Stack tecnológica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600"/>
      </w:tblGrid>
      <w:tr>
        <w:trPr>
          <w:tblHeader/>
        </w:trPr>
        <w:tc>
          <w:tcPr>
            <w:tcW w:type="pct" w:w="24%"/>
            <w:shd w:fill="005CA8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1"/>
                <w:szCs w:val="21"/>
              </w:rPr>
              <w:t xml:space="preserve">Camada</w:t>
            </w:r>
          </w:p>
        </w:tc>
        <w:tc>
          <w:tcPr>
            <w:tcW w:type="pct" w:w="24%"/>
            <w:shd w:fill="005CA8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1"/>
                <w:szCs w:val="21"/>
              </w:rPr>
              <w:t xml:space="preserve">Tecnologia</w:t>
            </w:r>
          </w:p>
        </w:tc>
        <w:tc>
          <w:tcPr>
            <w:tcW w:type="pct" w:w="52%"/>
            <w:shd w:fill="005CA8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1"/>
                <w:szCs w:val="21"/>
              </w:rPr>
              <w:t xml:space="preserve">Função no sistema</w:t>
            </w:r>
          </w:p>
        </w:tc>
      </w:tr>
      <w:tr>
        <w:tc>
          <w:tcPr>
            <w:tcW w:type="pct" w:w="50%"/>
            <w:shd w:fill="F2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Linguagem</w:t>
            </w:r>
          </w:p>
        </w:tc>
        <w:tc>
          <w:tcPr>
            <w:tcW w:type="pct" w:w="50%"/>
            <w:shd w:fill="F2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Python 3</w:t>
            </w:r>
          </w:p>
        </w:tc>
        <w:tc>
          <w:tcPr>
            <w:tcW w:type="pct" w:w="50%"/>
            <w:shd w:fill="F2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Motor de execução do script, do início ao fim do processamento.</w:t>
            </w:r>
          </w:p>
        </w:tc>
      </w:tr>
      <w:tr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Dados</w:t>
            </w:r>
          </w:p>
        </w:tc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pandas + openpyxl</w:t>
            </w:r>
          </w:p>
        </w:tc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Leitura, filtragem e agrupamento das linhas da planilha; escrita do status de cada edital de volta na planilha.</w:t>
            </w:r>
          </w:p>
        </w:tc>
      </w:tr>
      <w:tr>
        <w:tc>
          <w:tcPr>
            <w:tcW w:type="pct" w:w="50%"/>
            <w:shd w:fill="F2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Documentos</w:t>
            </w:r>
          </w:p>
        </w:tc>
        <w:tc>
          <w:tcPr>
            <w:tcW w:type="pct" w:w="50%"/>
            <w:shd w:fill="F2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docxtpl (Jinja2) + python-docx</w:t>
            </w:r>
          </w:p>
        </w:tc>
        <w:tc>
          <w:tcPr>
            <w:tcW w:type="pct" w:w="50%"/>
            <w:shd w:fill="F2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Preenchimento dos modelos .docx com os dados de cada edital, usando marcadores de texto (placeholders) inseridos no próprio Word.</w:t>
            </w:r>
          </w:p>
        </w:tc>
      </w:tr>
      <w:tr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Versionamento</w:t>
            </w:r>
          </w:p>
        </w:tc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Git / GitHub</w:t>
            </w:r>
          </w:p>
        </w:tc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Histórico de alterações do código, documentação (README) e rastreabilidade de cada mudança feita no sistema.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color w:val="004077"/>
          <w:sz w:val="23"/>
          <w:szCs w:val="23"/>
        </w:rPr>
        <w:t xml:space="preserve">Organização do código</w:t>
      </w:r>
    </w:p>
    <w:p>
      <w:pPr>
        <w:spacing w:after="160" w:line="300"/>
        <w:jc w:val="both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O código é organizado em funções reutilizáveis, e não como um script único e sequencial — o que facilita manutenção, revisão e testes. Essas funções estão agrupadas em três blocos: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Funções comuns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funções auxiliares usadas pelos dois tipos de edital: conversão de número por extenso, formatação de data sem depender de configuração do sistema operacional, limpeza de texto vindo da planilha, e busca de região administrativa e do responsável pela assinatura.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Funções do Edital de Caixa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leitura e limpeza da aba "Edital de Caixa", montagem do detalhamento de cada item e geração do documento .docx correspondente.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Funções do Edital de Massa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leitura e limpeza da aba "Edital de Massa", cálculo de volume e geração do documento .docx correspondente.</w:t>
      </w:r>
    </w:p>
    <w:p>
      <w:pPr>
        <w:spacing w:after="160" w:line="300"/>
        <w:jc w:val="both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Uma função principal (main) orquestra a leitura das quatro abas relevantes da planilha, o carregamento dos modelos de documento e a geração de todos os editais pendentes, dentro de um bloco de tratamento de erros único — descrito na Seção 6.</w:t>
      </w:r>
    </w:p>
    <w:p>
      <w:pPr>
        <w:pStyle w:val="Heading1"/>
        <w:pBdr>
          <w:bottom w:val="single" w:color="3490CE" w:sz="8" w:space="6"/>
        </w:pBdr>
        <w:spacing w:after="200" w:before="420"/>
      </w:pPr>
      <w:r>
        <w:rPr>
          <w:rFonts w:ascii="Open Sans" w:cs="Open Sans" w:eastAsia="Open Sans" w:hAnsi="Open Sans"/>
          <w:b/>
          <w:bCs/>
          <w:color w:val="3490CE"/>
          <w:sz w:val="26"/>
          <w:szCs w:val="26"/>
        </w:rPr>
        <w:t xml:space="preserve">4.  </w:t>
      </w:r>
      <w:r>
        <w:rPr>
          <w:rFonts w:ascii="Open Sans" w:cs="Open Sans" w:eastAsia="Open Sans" w:hAnsi="Open Sans"/>
          <w:b/>
          <w:bCs/>
          <w:color w:val="005CA8"/>
          <w:sz w:val="26"/>
          <w:szCs w:val="26"/>
        </w:rPr>
        <w:t xml:space="preserve">Fluxo de execução, passo a passo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1.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o script lê as abas "Edital de Caixa" e "Edital de Massa" e filtra apenas as linhas marcadas com Status Edital = "Criar edital".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2.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lê a aba "Municípios" (colunas Município e Região Administrativa) e monta uma tabela de referência em memória, usada para preencher a região administrativa no cabeçalho de qualquer um dos dois tipos de edital.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3.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lê a aba "Membros CADA" e identifica o membro com STATUS = "Ativo", cujo nome e cargo assinam o edital. Se ninguém estiver ativo, assina a coordenadora padrão; se mais de um estiver ativo ao mesmo tempo, o processamento é interrompido (ver Seção 6).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4.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abre a planilha Excel e os dois modelos de documento Word uma única vez, mantendo-os em memória durante toda a execução. Isso evita reabrir os mesmos arquivos do disco a cada edital gerado, o que tornaria o processamento de grandes volumes de editais desnecessariamente lento.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5.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para o Edital de Caixa: agrupa as linhas por Nº Processo SEI e Município, ordena os itens numericamente pela Série documental, soma as quantidades do grupo e converte o total em metros lineares e por extenso (ver Seção 5).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6.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para o Edital de Massa: cada linha da planilha gera o seu próprio edital (sem agrupamento); o sistema calcula o volume a partir de Comprimento, Largura e Altura e converte o resultado em metros lineares (ver Seção 5).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7.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cada edital gerado é salvo como um arquivo .docx na pasta "Editais Elaborados", com nome baseado no município e no número do processo.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8.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ao final, a planilha de controle é salva uma única vez, com todas as linhas processadas marcadas como "Edital criado" — evitando que o mesmo item seja processado duas vezes em uma próxima execução.</w:t>
      </w:r>
    </w:p>
    <w:p>
      <w:pPr>
        <w:spacing w:after="160" w:line="300"/>
        <w:jc w:val="both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Em nenhum momento o sistema publica ou assina um documento sozinho: ele prepara o rascunho, que segue para a revisão e os trâmites já existentes antes da publicação oficial no Diário Oficial.</w:t>
      </w:r>
    </w:p>
    <w:p>
      <w:pPr>
        <w:pStyle w:val="Heading1"/>
        <w:pBdr>
          <w:bottom w:val="single" w:color="3490CE" w:sz="8" w:space="6"/>
        </w:pBdr>
        <w:spacing w:after="200" w:before="420"/>
      </w:pPr>
      <w:r>
        <w:rPr>
          <w:rFonts w:ascii="Open Sans" w:cs="Open Sans" w:eastAsia="Open Sans" w:hAnsi="Open Sans"/>
          <w:b/>
          <w:bCs/>
          <w:color w:val="3490CE"/>
          <w:sz w:val="26"/>
          <w:szCs w:val="26"/>
        </w:rPr>
        <w:t xml:space="preserve">5.  </w:t>
      </w:r>
      <w:r>
        <w:rPr>
          <w:rFonts w:ascii="Open Sans" w:cs="Open Sans" w:eastAsia="Open Sans" w:hAnsi="Open Sans"/>
          <w:b/>
          <w:bCs/>
          <w:color w:val="005CA8"/>
          <w:sz w:val="26"/>
          <w:szCs w:val="26"/>
        </w:rPr>
        <w:t xml:space="preserve">Os dois tipos de edital e suas regras de cálculo</w:t>
      </w:r>
    </w:p>
    <w:p>
      <w:pPr>
        <w:spacing w:after="160" w:line="300"/>
        <w:jc w:val="both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O sistema atende às duas situações em que o DETRAN-SP elimina documentos, cada uma com seu próprio modelo de documento e sua própria regra de cálculo para a metragem final: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pct" w:w="24%"/>
            <w:shd w:fill="005CA8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1"/>
                <w:szCs w:val="21"/>
              </w:rPr>
              <w:t xml:space="preserve">Edital de Caixa</w:t>
            </w:r>
          </w:p>
        </w:tc>
        <w:tc>
          <w:tcPr>
            <w:tcW w:type="pct" w:w="76%"/>
            <w:shd w:fill="F2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Documentos catalogados individualmente (função, subfunção, série documental, prazo), eliminados conforme a Tabela de Temporalidade. Os itens de um mesmo Nº Processo SEI e Município são reunidos em um único edital. Metros lineares = quantidade total de caixas × 0,14 (metragem linear padrão ocupada por caixa em uma prateleira).</w:t>
            </w:r>
          </w:p>
        </w:tc>
      </w:tr>
      <w:tr>
        <w:tc>
          <w:tcPr>
            <w:tcW w:type="pct" w:w="24%"/>
            <w:shd w:fill="3490CE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1"/>
                <w:szCs w:val="21"/>
              </w:rPr>
              <w:t xml:space="preserve">Edital de Massa</w:t>
            </w:r>
          </w:p>
        </w:tc>
        <w:tc>
          <w:tcPr>
            <w:tcW w:type="pct" w:w="76%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Documentos eliminados em bloco, sem catalogação individual — por exemplo, em razão de sinistro. Cada linha da planilha é um edital. Metros cúbicos = Comprimento × Largura × Altura; metros lineares = metros cúbicos × 12 (fator de conversão), seguindo a mesma lógica de multiplicação por um fator fixo usada no edital de caixa.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490CE" w:sz="8" w:space="6"/>
        </w:pBdr>
        <w:spacing w:after="200" w:before="420"/>
      </w:pPr>
      <w:r>
        <w:rPr>
          <w:rFonts w:ascii="Open Sans" w:cs="Open Sans" w:eastAsia="Open Sans" w:hAnsi="Open Sans"/>
          <w:b/>
          <w:bCs/>
          <w:color w:val="3490CE"/>
          <w:sz w:val="26"/>
          <w:szCs w:val="26"/>
        </w:rPr>
        <w:t xml:space="preserve">6.  </w:t>
      </w:r>
      <w:r>
        <w:rPr>
          <w:rFonts w:ascii="Open Sans" w:cs="Open Sans" w:eastAsia="Open Sans" w:hAnsi="Open Sans"/>
          <w:b/>
          <w:bCs/>
          <w:color w:val="005CA8"/>
          <w:sz w:val="26"/>
          <w:szCs w:val="26"/>
        </w:rPr>
        <w:t xml:space="preserve">Validações e tratamento de erros</w:t>
      </w:r>
    </w:p>
    <w:p>
      <w:pPr>
        <w:spacing w:after="160" w:line="300"/>
        <w:jc w:val="both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O sistema foi desenhado para nunca gerar um edital com informação incorreta, incompleta ou ambígua. Sempre que um dado necessário está ausente ou inconsistente, a execução é interrompida com uma mensagem em português explicando exatamente o que precisa ser corrigido — em vez de um erro técnico do Python ou, pior, um edital com o dado errado.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Região administrativa não encontrada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um município informado sem correspondência cadastrada na aba "Municípios" interrompe a execução.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Assinante ambíguo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mais de um membro simultaneamente marcado como "Ativo" na aba "Membros CADA" torna ambígua a assinatura do edital e interrompe a execução.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Arquivo não encontrado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planilha ou modelo de documento (.docx) não encontrados no caminho esperado — geralmente indica que a pasta do SharePoint não está sincronizada.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Arquivo em uso por outro programa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a planilha ou o modelo estão abertos no Excel/Word no momento da execução, impedindo leitura ou escrita.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Coluna ausente na planilha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uma coluna esperada não existe na aba (cabeçalho renomeado ou removido por engano).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Valor inválido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um valor não numérico em campos como Quantidade, Comprimento, Largura ou Altura impede o cálculo da metragem.</w:t>
      </w:r>
    </w:p>
    <w:p>
      <w:pPr>
        <w:spacing w:after="160" w:line="300"/>
        <w:jc w:val="both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Tecnicamente, cada uma dessas situações corresponde a um tipo específico de exceção do Python (FileNotFoundError, PermissionError, KeyError e ValueError), capturado em um único bloco de tratamento de erros na função principal, que traduz a exceção original em uma mensagem direta, sem exibir o rastreamento técnico (traceback) do interpretador.</w:t>
      </w:r>
    </w:p>
    <w:p>
      <w:pPr>
        <w:spacing w:after="160" w:line="300"/>
        <w:jc w:val="both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Além disso, todo texto lido da planilha passa por uma limpeza automática que remove um artefato de formatação do Excel (o código "_x000D_", gerado quando uma célula tem quebra de linha manual e não é decodificado corretamente pela biblioteca de leitura), evitando que esse ruído apareça no texto final do edital.</w:t>
      </w:r>
    </w:p>
    <w:p>
      <w:pPr>
        <w:pStyle w:val="Heading1"/>
        <w:pBdr>
          <w:bottom w:val="single" w:color="3490CE" w:sz="8" w:space="6"/>
        </w:pBdr>
        <w:spacing w:after="200" w:before="420"/>
      </w:pPr>
      <w:r>
        <w:rPr>
          <w:rFonts w:ascii="Open Sans" w:cs="Open Sans" w:eastAsia="Open Sans" w:hAnsi="Open Sans"/>
          <w:b/>
          <w:bCs/>
          <w:color w:val="3490CE"/>
          <w:sz w:val="26"/>
          <w:szCs w:val="26"/>
        </w:rPr>
        <w:t xml:space="preserve">7.  </w:t>
      </w:r>
      <w:r>
        <w:rPr>
          <w:rFonts w:ascii="Open Sans" w:cs="Open Sans" w:eastAsia="Open Sans" w:hAnsi="Open Sans"/>
          <w:b/>
          <w:bCs/>
          <w:color w:val="005CA8"/>
          <w:sz w:val="26"/>
          <w:szCs w:val="26"/>
        </w:rPr>
        <w:t xml:space="preserve">Indicadores de desempenho: antes e depois da automação</w:t>
      </w:r>
    </w:p>
    <w:p>
      <w:pPr>
        <w:spacing w:after="160" w:line="300"/>
        <w:jc w:val="both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O sistema entrou em operação em outubro de 2025. A própria planilha de controle mantém, na aba "Controle de Editais", o histórico de todos os editais publicados desde 2023 — o que permite comparar, com dados reais, o ritmo de trabalho antes e depois da automação.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00"/>
      </w:tblGrid>
      <w:tr>
        <w:trPr>
          <w:tblHeader/>
        </w:trPr>
        <w:tc>
          <w:tcPr>
            <w:tcW w:type="pct" w:w="42%"/>
            <w:shd w:fill="005CA8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1"/>
                <w:szCs w:val="21"/>
              </w:rPr>
              <w:t xml:space="preserve">Indicador</w:t>
            </w:r>
          </w:p>
        </w:tc>
        <w:tc>
          <w:tcPr>
            <w:tcW w:type="pct" w:w="29%"/>
            <w:shd w:fill="005CA8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1"/>
                <w:szCs w:val="21"/>
              </w:rPr>
              <w:t xml:space="preserve">Antes (jan/2023 – set/2025)</w:t>
            </w:r>
          </w:p>
        </w:tc>
        <w:tc>
          <w:tcPr>
            <w:tcW w:type="pct" w:w="29%"/>
            <w:shd w:fill="005CA8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1"/>
                <w:szCs w:val="21"/>
              </w:rPr>
              <w:t xml:space="preserve">Depois (out/2025 – ago/2026)</w:t>
            </w:r>
          </w:p>
        </w:tc>
      </w:tr>
      <w:tr>
        <w:tc>
          <w:tcPr>
            <w:tcW w:type="pct" w:w="50%"/>
            <w:shd w:fill="F2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Total de editais publicados</w:t>
            </w:r>
          </w:p>
        </w:tc>
        <w:tc>
          <w:tcPr>
            <w:tcW w:type="pct" w:w="50%"/>
            <w:shd w:fill="F2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975</w:t>
            </w:r>
          </w:p>
        </w:tc>
        <w:tc>
          <w:tcPr>
            <w:tcW w:type="pct" w:w="50%"/>
            <w:shd w:fill="F2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620</w:t>
            </w:r>
          </w:p>
        </w:tc>
      </w:tr>
      <w:tr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Meses com atividade registrada</w:t>
            </w:r>
          </w:p>
        </w:tc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27</w:t>
            </w:r>
          </w:p>
        </w:tc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11</w:t>
            </w:r>
          </w:p>
        </w:tc>
      </w:tr>
      <w:tr>
        <w:tc>
          <w:tcPr>
            <w:tcW w:type="pct" w:w="50%"/>
            <w:shd w:fill="F2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4077"/>
                <w:sz w:val="21"/>
                <w:szCs w:val="21"/>
              </w:rPr>
              <w:t xml:space="preserve">Média de editais por mês ativo</w:t>
            </w:r>
          </w:p>
        </w:tc>
        <w:tc>
          <w:tcPr>
            <w:tcW w:type="pct" w:w="50%"/>
            <w:shd w:fill="F2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36,1</w:t>
            </w:r>
          </w:p>
        </w:tc>
        <w:tc>
          <w:tcPr>
            <w:tcW w:type="pct" w:w="50%"/>
            <w:shd w:fill="F2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4077"/>
                <w:sz w:val="21"/>
                <w:szCs w:val="21"/>
              </w:rPr>
              <w:t xml:space="preserve">56,4 (+56%)</w:t>
            </w:r>
          </w:p>
        </w:tc>
      </w:tr>
      <w:tr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Intervalo mediano entre publicações</w:t>
            </w:r>
          </w:p>
        </w:tc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3 dias</w:t>
            </w:r>
          </w:p>
        </w:tc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2 dias</w:t>
            </w:r>
          </w:p>
        </w:tc>
      </w:tr>
      <w:tr>
        <w:tc>
          <w:tcPr>
            <w:tcW w:type="pct" w:w="50%"/>
            <w:shd w:fill="F2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Tamanho médio do lote por data de publicação</w:t>
            </w:r>
          </w:p>
        </w:tc>
        <w:tc>
          <w:tcPr>
            <w:tcW w:type="pct" w:w="50%"/>
            <w:shd w:fill="F2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~4,5 editais</w:t>
            </w:r>
          </w:p>
        </w:tc>
        <w:tc>
          <w:tcPr>
            <w:tcW w:type="pct" w:w="50%"/>
            <w:shd w:fill="F2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~6,5 editais (+46%)</w:t>
            </w:r>
          </w:p>
        </w:tc>
      </w:tr>
      <w:tr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Volume médio (caixas) por edital</w:t>
            </w:r>
          </w:p>
        </w:tc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~599 caixas</w:t>
            </w:r>
          </w:p>
        </w:tc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A3A3A"/>
                <w:sz w:val="21"/>
                <w:szCs w:val="21"/>
              </w:rPr>
              <w:t xml:space="preserve">~204 caixas</w:t>
            </w:r>
          </w:p>
        </w:tc>
      </w:tr>
    </w:tbl>
    <w:p>
      <w:pPr>
        <w:spacing w:after="100"/>
      </w:pPr>
    </w:p>
    <w:p>
      <w:pPr>
        <w:spacing w:after="160" w:line="300"/>
        <w:jc w:val="both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Os números mostram um ritmo de publicação mais frequente e em lotes mais ágeis após a automação: em vez de acumular grandes volumes de documentos por longos períodos até compensar o esforço manual de montar um edital, a área passou a publicar editais menores e com mais regularidade — refletido tanto no aumento de 56% na média mensal quanto na redução do volume médio por edital, de aproximadamente 599 para 204 caixas.</w:t>
      </w:r>
    </w:p>
    <w:p>
      <w:pPr>
        <w:spacing w:after="200" w:before="100" w:line="270"/>
        <w:jc w:val="both"/>
      </w:pPr>
      <w:r>
        <w:rPr>
          <w:rFonts w:ascii="Open Sans" w:cs="Open Sans" w:eastAsia="Open Sans" w:hAnsi="Open Sans"/>
          <w:i/>
          <w:iCs/>
          <w:color w:val="6A6A6A"/>
          <w:sz w:val="19"/>
          <w:szCs w:val="19"/>
        </w:rPr>
        <w:t xml:space="preserve">Metodologia e ressalvas: os números consideram os 975 registros publicados entre 06/01/2023 e 30/09/2025, comparados aos 620 registros publicados entre 02/10/2025 e 04/08/2026, ambos extraídos da aba "Controle de Editais" da própria planilha de controle. "Meses ativos" são meses com pelo menos um edital publicado, para não distorcer a média com os 6 meses sem nenhum registro observados entre setembro/2024 e fevereiro/2025 (anteriores à automação e não atribuíveis a ela). Por se tratar de uma comparação de períodos distintos, outros fatores além da automação — como mudanças de equipe ou de prioridades da área — podem ter contribuído para a variação observada; ainda assim, o aumento consistente na frequência de publicação é compatível com uma redução do tempo necessário para preparar cada rascunho de edital.</w:t>
      </w:r>
    </w:p>
    <w:p>
      <w:pPr>
        <w:pStyle w:val="Heading1"/>
        <w:pBdr>
          <w:bottom w:val="single" w:color="3490CE" w:sz="8" w:space="6"/>
        </w:pBdr>
        <w:spacing w:after="200" w:before="420"/>
      </w:pPr>
      <w:r>
        <w:rPr>
          <w:rFonts w:ascii="Open Sans" w:cs="Open Sans" w:eastAsia="Open Sans" w:hAnsi="Open Sans"/>
          <w:b/>
          <w:bCs/>
          <w:color w:val="3490CE"/>
          <w:sz w:val="26"/>
          <w:szCs w:val="26"/>
        </w:rPr>
        <w:t xml:space="preserve">8.  </w:t>
      </w:r>
      <w:r>
        <w:rPr>
          <w:rFonts w:ascii="Open Sans" w:cs="Open Sans" w:eastAsia="Open Sans" w:hAnsi="Open Sans"/>
          <w:b/>
          <w:bCs/>
          <w:color w:val="005CA8"/>
          <w:sz w:val="26"/>
          <w:szCs w:val="26"/>
        </w:rPr>
        <w:t xml:space="preserve">Benefícios para a área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Agilidade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o ritmo de publicação de editais aumentou 56% desde a entrada do sistema em operação, com lotes mais frequentes e menores (ver Seção 7).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Padronização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todos os editais seguem exatamente o mesmo texto legal e a mesma formatação, aprovados previamente pela área responsável.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Redução de erros manuais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cálculos (quantidades por extenso, metragem, datas) são feitos pelo sistema, eliminando erros de digitação e de conta.</w:t>
      </w:r>
    </w:p>
    <w:p>
      <w:pPr>
        <w:pStyle w:val="ListParagraph"/>
        <w:numPr>
          <w:ilvl w:val="0"/>
          <w:numId w:val="1"/>
        </w:numPr>
        <w:spacing w:after="120" w:line="290"/>
        <w:ind w:left="320"/>
      </w:pPr>
      <w:r>
        <w:rPr>
          <w:rFonts w:ascii="Open Sans" w:cs="Open Sans" w:eastAsia="Open Sans" w:hAnsi="Open Sans"/>
          <w:b/>
          <w:bCs/>
          <w:color w:val="004077"/>
          <w:sz w:val="22"/>
          <w:szCs w:val="22"/>
        </w:rPr>
        <w:t xml:space="preserve">Rastreabilidade — </w:t>
      </w: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a própria planilha de controle registra o que já foi gerado, servindo como histórico do que foi feito e do que ainda falta.</w:t>
      </w:r>
    </w:p>
    <w:p>
      <w:pPr>
        <w:pStyle w:val="Heading1"/>
        <w:pBdr>
          <w:bottom w:val="single" w:color="3490CE" w:sz="8" w:space="6"/>
        </w:pBdr>
        <w:spacing w:after="200" w:before="420"/>
      </w:pPr>
      <w:r>
        <w:rPr>
          <w:rFonts w:ascii="Open Sans" w:cs="Open Sans" w:eastAsia="Open Sans" w:hAnsi="Open Sans"/>
          <w:b/>
          <w:bCs/>
          <w:color w:val="3490CE"/>
          <w:sz w:val="26"/>
          <w:szCs w:val="26"/>
        </w:rPr>
        <w:t xml:space="preserve">9.  </w:t>
      </w:r>
      <w:r>
        <w:rPr>
          <w:rFonts w:ascii="Open Sans" w:cs="Open Sans" w:eastAsia="Open Sans" w:hAnsi="Open Sans"/>
          <w:b/>
          <w:bCs/>
          <w:color w:val="005CA8"/>
          <w:sz w:val="26"/>
          <w:szCs w:val="26"/>
        </w:rPr>
        <w:t xml:space="preserve">Onde encontrar o sistema</w:t>
      </w:r>
    </w:p>
    <w:p>
      <w:pPr>
        <w:spacing w:after="160" w:line="300"/>
        <w:jc w:val="both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O código-fonte do sistema, a documentação técnica completa (estrutura da planilha, como executar, como interpretar cada mensagem de erro) e este dossiê estão disponíveis no repositório do projeto no GitHub:</w:t>
      </w:r>
    </w:p>
    <w:p>
      <w:pPr>
        <w:spacing w:after="200"/>
      </w:pPr>
      <w:r>
        <w:rPr>
          <w:rFonts w:ascii="Consolas" w:cs="Consolas" w:eastAsia="Consolas" w:hAnsi="Consolas"/>
          <w:i/>
          <w:iCs/>
          <w:color w:val="004077"/>
          <w:sz w:val="20"/>
          <w:szCs w:val="20"/>
        </w:rPr>
        <w:t xml:space="preserve">github.com/jbsantxs/editais_eliminacao</w:t>
      </w:r>
    </w:p>
    <w:p>
      <w:pPr>
        <w:spacing w:after="160" w:line="300"/>
        <w:jc w:val="both"/>
      </w:pPr>
      <w:r>
        <w:rPr>
          <w:rFonts w:ascii="Open Sans" w:cs="Open Sans" w:eastAsia="Open Sans" w:hAnsi="Open Sans"/>
          <w:color w:val="3A3A3A"/>
          <w:sz w:val="22"/>
          <w:szCs w:val="22"/>
        </w:rPr>
        <w:t xml:space="preserve">Qualquer dúvida adicional sobre o funcionamento do sistema pode ser encaminhada à Divisão de Gestão Documental.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  <w:spacing w:before="120"/>
    </w:pPr>
    <w:r>
      <w:rPr>
        <w:rFonts w:ascii="Open Sans" w:cs="Open Sans" w:eastAsia="Open Sans" w:hAnsi="Open Sans"/>
        <w:color w:val="8A8A8A"/>
        <w:sz w:val="16"/>
        <w:szCs w:val="16"/>
      </w:rPr>
      <w:t xml:space="preserve">Dossiê Técnico — Editais de Eliminação de Documentos</w:t>
    </w:r>
    <w:r>
      <w:tab/>
    </w:r>
    <w:r>
      <w:rPr>
        <w:rFonts w:ascii="Open Sans" w:cs="Open Sans" w:eastAsia="Open Sans" w:hAnsi="Open Sans"/>
        <w:color w:val="8A8A8A"/>
        <w:sz w:val="16"/>
        <w:szCs w:val="16"/>
      </w:rPr>
      <w:t xml:space="preserve">Página </w:t>
    </w:r>
    <w:r>
      <w:rPr>
        <w:rFonts w:ascii="Open Sans" w:cs="Open Sans" w:eastAsia="Open Sans" w:hAnsi="Open Sans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Open Sans" w:cs="Open Sans" w:eastAsia="Open Sans" w:hAnsi="Open Sans"/>
        <w:color w:val="8A8A8A"/>
        <w:sz w:val="16"/>
        <w:szCs w:val="16"/>
      </w:rPr>
      <w:t xml:space="preserve"> de </w:t>
    </w:r>
    <w:r>
      <w:rPr>
        <w:rFonts w:ascii="Open Sans" w:cs="Open Sans" w:eastAsia="Open Sans" w:hAnsi="Open Sans"/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2382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9D9D9" w:sz="4" w:space="4"/>
      </w:pBdr>
      <w:spacing w:after="20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A3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5549981de332593192778283ce9c5e30357c643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16f2999b818780e38e1d7032ef6760a15831735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2026-08-06T20:06:48.661Z</dcterms:created>
  <dcterms:modified xsi:type="dcterms:W3CDTF">2026-08-06T20:06:48.675Z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