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drawing>
          <wp:inline distT="0" distB="0" distL="0" distR="0">
            <wp:extent cx="1619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700"/>
      </w:pPr>
    </w:p>
    <w:p>
      <w:pPr>
        <w:jc w:val="center"/>
      </w:pPr>
      <w:r>
        <w:rPr>
          <w:rFonts w:ascii="Open Sans" w:cs="Open Sans" w:eastAsia="Open Sans" w:hAnsi="Open Sans"/>
          <w:b/>
          <w:bCs/>
          <w:color w:val="3490CE"/>
          <w:spacing w:val="40"/>
          <w:sz w:val="22"/>
          <w:szCs w:val="22"/>
        </w:rPr>
        <w:t xml:space="preserve">DOSSIÊ TÉCNICO</w:t>
      </w:r>
    </w:p>
    <w:p>
      <w:pPr>
        <w:spacing w:before="260"/>
        <w:jc w:val="center"/>
      </w:pPr>
      <w:r>
        <w:rPr>
          <w:rFonts w:ascii="Open Sans" w:cs="Open Sans" w:eastAsia="Open Sans" w:hAnsi="Open Sans"/>
          <w:b/>
          <w:bCs/>
          <w:color w:val="005CA8"/>
          <w:sz w:val="40"/>
          <w:szCs w:val="40"/>
        </w:rPr>
        <w:t xml:space="preserve">Sistema de Geração Automática de</w:t>
      </w:r>
    </w:p>
    <w:p>
      <w:pPr>
        <w:spacing w:after="500"/>
        <w:jc w:val="center"/>
      </w:pPr>
      <w:r>
        <w:rPr>
          <w:rFonts w:ascii="Open Sans" w:cs="Open Sans" w:eastAsia="Open Sans" w:hAnsi="Open Sans"/>
          <w:b/>
          <w:bCs/>
          <w:color w:val="005CA8"/>
          <w:sz w:val="40"/>
          <w:szCs w:val="40"/>
        </w:rPr>
        <w:t xml:space="preserve">Editais de Eliminação de Documentos</w:t>
      </w:r>
    </w:p>
    <w:p>
      <w:pPr>
        <w:spacing w:before="700"/>
        <w:jc w:val="center"/>
      </w:pPr>
      <w:r>
        <w:rPr>
          <w:rFonts w:ascii="Open Sans" w:cs="Open Sans" w:eastAsia="Open Sans" w:hAnsi="Open Sans"/>
          <w:color w:val="3A3A3A"/>
          <w:sz w:val="24"/>
          <w:szCs w:val="24"/>
        </w:rPr>
        <w:t xml:space="preserve">Documento explicativo preparado para a Diretoria</w:t>
      </w:r>
    </w:p>
    <w:p>
      <w:pPr>
        <w:spacing w:after="1600" w:before="120"/>
        <w:jc w:val="center"/>
      </w:pPr>
      <w:r>
        <w:rPr>
          <w:rFonts w:ascii="Open Sans" w:cs="Open Sans" w:eastAsia="Open Sans" w:hAnsi="Open Sans"/>
          <w:color w:val="6A6A6A"/>
          <w:sz w:val="20"/>
          <w:szCs w:val="20"/>
        </w:rPr>
        <w:t xml:space="preserve">Divisão de Gestão Documental — DETRAN-SP</w:t>
      </w:r>
    </w:p>
    <w:p>
      <w:pPr>
        <w:jc w:val="center"/>
      </w:pPr>
      <w:r>
        <w:rPr>
          <w:rFonts w:ascii="Open Sans" w:cs="Open Sans" w:eastAsia="Open Sans" w:hAnsi="Open Sans"/>
          <w:color w:val="6A6A6A"/>
          <w:sz w:val="20"/>
          <w:szCs w:val="20"/>
        </w:rPr>
        <w:t xml:space="preserve">Agosto de 2026</w:t>
      </w:r>
    </w:p>
    <w:p>
      <w:pPr>
        <w:sectPr>
          <w:headerReference w:type="first" r:id="rId7"/>
          <w:footerReference w:type="first" r:id="rId8"/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1.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 que é este documento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Este dossiê descreve, com profundidade técnica, o sistema desenvolvido para apoiar a Divisão de Gestão Documental na elaboração dos editais de eliminação de documentos do DETRAN-SP — os avisos públicos, publicados no Diário Oficial, que informam quais documentos serão descartados após o fim de seu prazo legal de guarda.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objetivo é dar à Diretoria uma visão completa da solução: a arquitetura do sistema, como os dados fluem do preenchimento da planilha até o documento final, as regras de cálculo aplicadas, os mecanismos de validação e tratamento de erros, e indicadores de desempenho medidos a partir do histórico real de editais publicados.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2.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 problema que o sistema resolve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Antes da automação, cada edital de eliminação era montado manualmente: alguém precisava consultar a Tabela de Temporalidade de Documentos, copiar e formatar as informações de cada processo, escrever por extenso as quantidades, calcular a metragem dos documentos e revisar o texto legal — tudo isso repetido para cada novo edital.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Esse processo manual toma tempo da equipe e cria oportunidades para pequenos erros de digitação ou de formatação, que em um documento oficial publicado no Diário Oficial podem gerar retrabalho e questionamentos.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3.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Arquitetura técnica do sistema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é um script escrito em Python 3, executado localmente na máquina do usuário, sem depender de servidor ou infraestrutura própria. Ele opera sobre três tipos de arquivo: a planilha de controle (Excel), os modelos de documento (Word) e os editais gerados (Word), todos armazenados na pasta do DETRAN-SP sincronizada via SharePoint/OneDrive — o que permite que o script funcione em qualquer computador da equipe sem alteração de código.</w:t>
      </w:r>
    </w:p>
    <w:p>
      <w:pPr>
        <w:spacing w:after="120" w:before="200"/>
      </w:pPr>
      <w:r>
        <w:rPr>
          <w:rFonts w:ascii="Open Sans" w:cs="Open Sans" w:eastAsia="Open Sans" w:hAnsi="Open Sans"/>
          <w:b/>
          <w:bCs/>
          <w:color w:val="004077"/>
          <w:sz w:val="23"/>
          <w:szCs w:val="23"/>
        </w:rPr>
        <w:t xml:space="preserve">Stack tecnológica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pct" w:w="24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Camada</w:t>
            </w:r>
          </w:p>
        </w:tc>
        <w:tc>
          <w:tcPr>
            <w:tcW w:type="pct" w:w="24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Tecnologia</w:t>
            </w:r>
          </w:p>
        </w:tc>
        <w:tc>
          <w:tcPr>
            <w:tcW w:type="pct" w:w="52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Função no sistema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Linguagem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Python 3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Motor de execução do script, do início ao fim do processamento.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Dados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pandas + openpyxl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Leitura, filtragem e agrupamento das linhas da planilha; escrita do status de cada edital de volta na planilha.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Documentos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docxtpl (Jinja2) + python-docx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Preenchimento dos modelos .docx com os dados de cada edital, usando marcadores de texto (placeholders) inseridos no próprio Word.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Versionamento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Git / GitHub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Histórico de alterações do código, documentação (README) e rastreabilidade de cada mudança feita no sistema.</w:t>
            </w:r>
          </w:p>
        </w:tc>
      </w:tr>
    </w:tbl>
    <w:p>
      <w:pPr>
        <w:spacing w:after="100"/>
      </w:pPr>
    </w:p>
    <w:p>
      <w:pPr>
        <w:spacing w:after="120" w:before="200"/>
      </w:pPr>
      <w:r>
        <w:rPr>
          <w:rFonts w:ascii="Open Sans" w:cs="Open Sans" w:eastAsia="Open Sans" w:hAnsi="Open Sans"/>
          <w:b/>
          <w:bCs/>
          <w:color w:val="004077"/>
          <w:sz w:val="23"/>
          <w:szCs w:val="23"/>
        </w:rPr>
        <w:t xml:space="preserve">Organização do código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código é organizado em funções reutilizáveis, e não como um script único e sequencial — o que facilita manutenção, revisão e testes. Essas funções estão agrupadas em três blocos: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Funções comuns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funções auxiliares usadas pelos dois tipos de edital: conversão de número por extenso, formatação de data sem depender de configuração do sistema operacional, limpeza de texto vindo da planilha, e busca de região administrativa e do responsável pela assinatura.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Funções do Edital de Caixa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leitura e limpeza da aba "Edital de Caixa", montagem do detalhamento de cada item e geração do documento .docx correspondente.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Funções do Edital de Massa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leitura e limpeza da aba "Edital de Massa", cálculo de volume e geração do documento .docx correspondente.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Uma função principal (main) orquestra a leitura das quatro abas relevantes da planilha, o carregamento dos modelos de documento e a geração de todos os editais pendentes, dentro de um bloco de tratamento de erros único — descrito na Seção 6.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4.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Fluxo de execução, passo a passo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1.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script lê as abas "Edital de Caixa" e "Edital de Massa" e filtra apenas as linhas marcadas com Status Edital = "Criar edital".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2.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lê a aba "Municípios" (colunas Município e Região Administrativa) e monta uma tabela de referência em memória, usada para preencher a região administrativa no cabeçalho de qualquer um dos dois tipos de edital.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3.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lê a aba "Membros CADA" e identifica o membro com STATUS = "Ativo", cujo nome e cargo assinam o edital. Se ninguém estiver ativo, assina a coordenadora padrão; se mais de um estiver ativo ao mesmo tempo, o processamento é interrompido (ver Seção 6).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4.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abre a planilha Excel e os dois modelos de documento Word uma única vez, mantendo-os em memória durante toda a execução. Isso evita reabrir os mesmos arquivos do disco a cada edital gerado, o que tornaria o processamento de grandes volumes de editais desnecessariamente lento.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5.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para o Edital de Caixa: agrupa as linhas por Nº Processo SEI e Município, ordena os itens numericamente pela Série documental, soma as quantidades do grupo e converte o total em metros lineares e por extenso (ver Seção 5).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6.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para o Edital de Massa: cada linha da planilha gera o seu próprio edital (sem agrupamento); o sistema calcula o volume a partir de Comprimento, Largura e Altura e converte o resultado em metros lineares (ver Seção 5).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7.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cada edital gerado é salvo como um arquivo .docx na pasta "Editais Elaborados", com nome baseado no município e no número do processo.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8.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ao final, a planilha de controle é salva uma única vez, com todas as linhas processadas marcadas como "Edital criado" — evitando que o mesmo item seja processado duas vezes em uma próxima execução.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Em nenhum momento o sistema publica ou assina um documento sozinho: ele prepara o rascunho, que segue para a revisão e os trâmites já existentes antes da publicação oficial no Diário Oficial.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5.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Os dois tipos de edital e suas regras de cálculo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atende às duas situações em que o DETRAN-SP elimina documentos, cada uma com seu próprio modelo de documento e sua própria regra de cálculo para a metragem final: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pct" w:w="24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Edital de Caixa</w:t>
            </w:r>
          </w:p>
        </w:tc>
        <w:tc>
          <w:tcPr>
            <w:tcW w:type="pct" w:w="76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Documentos catalogados individualmente (função, subfunção, série documental, prazo), eliminados conforme a Tabela de Temporalidade. Os itens de um mesmo Nº Processo SEI e Município são reunidos em um único edital. Metros lineares = quantidade total de caixas × 0,14 (metragem linear padrão ocupada por caixa em uma prateleira).</w:t>
            </w:r>
          </w:p>
        </w:tc>
      </w:tr>
      <w:tr>
        <w:tc>
          <w:tcPr>
            <w:tcW w:type="pct" w:w="24%"/>
            <w:shd w:fill="3490CE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Edital de Massa</w:t>
            </w:r>
          </w:p>
        </w:tc>
        <w:tc>
          <w:tcPr>
            <w:tcW w:type="pct" w:w="76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Documentos eliminados em bloco, sem catalogação individual — por exemplo, em razão de sinistro. Cada linha da planilha é um edital. Metros cúbicos = Comprimento × Largura × Altura; metros lineares = metros cúbicos × 12 (fator de conversão), seguindo a mesma lógica de multiplicação por um fator fixo usada no edital de caixa.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6.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Validações e tratamento de erros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foi desenhado para nunca gerar um edital com informação incorreta, incompleta ou ambígua. Sempre que um dado necessário está ausente ou inconsistente, a execução é interrompida com uma mensagem em português explicando exatamente o que precisa ser corrigido — em vez de um erro técnico do Python ou, pior, um edital com o dado errado.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Região administrativa não encontrada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 município informado sem correspondência cadastrada na aba "Municípios" interrompe a execução.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Assinante ambíguo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mais de um membro simultaneamente marcado como "Ativo" na aba "Membros CADA" torna ambígua a assinatura do edital e interrompe a execução.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Arquivo não encontrado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planilha ou modelo de documento (.docx) não encontrados no caminho esperado — geralmente indica que a pasta do SharePoint não está sincronizada.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Arquivo em uso por outro programa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 planilha ou o modelo estão abertos no Excel/Word no momento da execução, impedindo leitura ou escrita.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Coluna ausente na planilha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uma coluna esperada não existe na aba (cabeçalho renomeado ou removido por engano).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Valor inválido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 valor não numérico em campos como Quantidade, Comprimento, Largura ou Altura impede o cálculo da metragem.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Tecnicamente, cada uma dessas situações corresponde a um tipo específico de exceção do Python (FileNotFoundError, PermissionError, KeyError e ValueError), capturado em um único bloco de tratamento de erros na função principal, que traduz a exceção original em uma mensagem direta, sem exibir o rastreamento técnico (traceback) do interpretador.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Além disso, todo texto lido da planilha passa por uma limpeza automática que remove um artefato de formatação do Excel (o código "_x000D_", gerado quando uma célula tem quebra de linha manual e não é decodificado corretamente pela biblioteca de leitura), evitando que esse ruído apareça no texto final do edital.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7.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Indicadores de desempenho: antes e depois da automação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entrou em operação em outubro de 2025. A própria planilha de controle mantém, na aba "Controle de Editais", o histórico de todos os editais publicados desde 2023 — o que permite comparar, com dados reais, o ritmo de trabalho antes e depois da automação.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Antes de olhar para os números, vale contextualizar como a demanda chega até a CADA: os editais não são produzidos por iniciativa própria da Comissão de Avaliação de Documentos e Acesso, mas sim a partir de solicitações formais das Superintendências Regionais, que identificam e encaminham os documentos elegíveis para eliminação. Ou seja, o volume de editais publicados em um determinado período reflete tanto a capacidade de processamento da CADA quanto o volume de solicitações recebidas — a automação reduz o tempo de processamento de cada solicitação, mas não cria demanda por si só.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00"/>
      </w:tblGrid>
      <w:tr>
        <w:trPr>
          <w:tblHeader/>
        </w:trPr>
        <w:tc>
          <w:tcPr>
            <w:tcW w:type="pct" w:w="42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Indicador</w:t>
            </w:r>
          </w:p>
        </w:tc>
        <w:tc>
          <w:tcPr>
            <w:tcW w:type="pct" w:w="29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Antes (jan/2023 – set/2025)</w:t>
            </w:r>
          </w:p>
        </w:tc>
        <w:tc>
          <w:tcPr>
            <w:tcW w:type="pct" w:w="29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Depois (out/2025 – ago/2026)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Total de editais publicados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975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620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Meses com atividade registrada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27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11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4077"/>
                <w:sz w:val="21"/>
                <w:szCs w:val="21"/>
              </w:rPr>
              <w:t xml:space="preserve">Média de editais por mês ativo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36,1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4077"/>
                <w:sz w:val="21"/>
                <w:szCs w:val="21"/>
              </w:rPr>
              <w:t xml:space="preserve">56,4 (+56%)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Intervalo mediano entre publicações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3 dias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2 dias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Tamanho médio do lote por data de publicação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~4,5 editais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~6,5 editais (+46%)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Volume médio (caixas) por edital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~599 caixas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~204 caixas</w:t>
            </w:r>
          </w:p>
        </w:tc>
      </w:tr>
    </w:tbl>
    <w:p>
      <w:pPr>
        <w:spacing w:after="100"/>
      </w:pP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Os números mostram um ritmo de publicação mais frequente e em lotes mais ágeis após a automação: em vez de acumular grandes volumes de documentos por longos períodos até compensar o esforço manual de montar um edital, a área passou a publicar editais menores e com mais regularidade — refletido tanto no aumento de 56% na média mensal quanto na redução do volume médio por edital, de aproximadamente 599 para 204 caixas.</w:t>
      </w:r>
    </w:p>
    <w:p>
      <w:pPr>
        <w:spacing w:after="200" w:before="100" w:line="270"/>
        <w:jc w:val="both"/>
      </w:pPr>
      <w:r>
        <w:rPr>
          <w:rFonts w:ascii="Open Sans" w:cs="Open Sans" w:eastAsia="Open Sans" w:hAnsi="Open Sans"/>
          <w:i/>
          <w:iCs/>
          <w:color w:val="6A6A6A"/>
          <w:sz w:val="19"/>
          <w:szCs w:val="19"/>
        </w:rPr>
        <w:t xml:space="preserve">Metodologia e ressalvas: os números consideram os 975 registros publicados entre 06/01/2023 e 30/09/2025, comparados aos 620 registros publicados entre 02/10/2025 e 04/08/2026, ambos extraídos da aba "Controle de Editais" da própria planilha de controle. "Meses ativos" são meses com pelo menos um edital publicado, para não distorcer a média com os 6 meses sem nenhum registro observados entre setembro/2024 e fevereiro/2025 — período em que a elaboração de editais ficou pausada em função da atualização da Tabela de Temporalidade de Documentos, e não por causa da automação (que ainda não existia nesse período). Por se tratar de uma comparação de períodos distintos, outros fatores além da automação — como a atualização da própria Tabela de Temporalidade, mudanças de equipe, ou o volume de solicitações recebidas das Superintendências Regionais — também influenciam esses números; ainda assim, o aumento consistente na frequência de publicação é compatível com uma redução do tempo necessário para preparar cada rascunho de edital.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8.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Benefícios para a área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Agilidade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ritmo de publicação de editais aumentou 56% desde a entrada do sistema em operação, com lotes mais frequentes e menores (ver Seção 7).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Padronização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todos os editais seguem exatamente o mesmo texto legal e a mesma formatação, aprovados previamente pela área responsável.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Redução de erros manuais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cálculos (quantidades por extenso, metragem, datas) são feitos pelo sistema, eliminando erros de digitação e de conta.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Rastreabilidade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 própria planilha de controle registra o que já foi gerado, servindo como histórico do que foi feito e do que ainda falta.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9.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Onde encontrar o sistema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código-fonte do sistema, a documentação técnica completa (estrutura da planilha, como executar, como interpretar cada mensagem de erro) e este dossiê estão disponíveis no repositório do projeto no GitHub:</w:t>
      </w:r>
    </w:p>
    <w:p>
      <w:pPr>
        <w:spacing w:after="200"/>
      </w:pPr>
      <w:r>
        <w:rPr>
          <w:rFonts w:ascii="Consolas" w:cs="Consolas" w:eastAsia="Consolas" w:hAnsi="Consolas"/>
          <w:i/>
          <w:iCs/>
          <w:color w:val="004077"/>
          <w:sz w:val="20"/>
          <w:szCs w:val="20"/>
        </w:rPr>
        <w:t xml:space="preserve">github.com/jbsantxs/editais_eliminacao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Qualquer dúvida adicional sobre o funcionamento do sistema pode ser encaminhada à Divisão de Gestão Documental.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tabs>
        <w:tab w:val="right" w:pos="9026"/>
      </w:tabs>
      <w:spacing w:before="120"/>
    </w:pPr>
    <w:r>
      <w:rPr>
        <w:rFonts w:ascii="Open Sans" w:cs="Open Sans" w:eastAsia="Open Sans" w:hAnsi="Open Sans"/>
        <w:color w:val="8A8A8A"/>
        <w:sz w:val="16"/>
        <w:szCs w:val="16"/>
      </w:rPr>
      <w:t xml:space="preserve">Dossiê Técnico — Editais de Eliminação de Documentos</w:t>
    </w:r>
    <w:r>
      <w:tab/>
    </w:r>
    <w:r>
      <w:rPr>
        <w:rFonts w:ascii="Open Sans" w:cs="Open Sans" w:eastAsia="Open Sans" w:hAnsi="Open Sans"/>
        <w:color w:val="8A8A8A"/>
        <w:sz w:val="16"/>
        <w:szCs w:val="16"/>
      </w:rPr>
      <w:t xml:space="preserve">Página </w:t>
    </w:r>
    <w:r>
      <w:rPr>
        <w:rFonts w:ascii="Open Sans" w:cs="Open Sans" w:eastAsia="Open Sans" w:hAnsi="Open Sans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8A8A8A"/>
        <w:sz w:val="16"/>
        <w:szCs w:val="16"/>
      </w:rPr>
      <w:t xml:space="preserve"> de </w:t>
    </w:r>
    <w:r>
      <w:rPr>
        <w:rFonts w:ascii="Open Sans" w:cs="Open Sans" w:eastAsia="Open Sans" w:hAnsi="Open Sans"/>
        <w:color w:val="8A8A8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2382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82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9D9D9" w:sz="4" w:space="4"/>
      </w:pBdr>
      <w:spacing w:after="20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3A3A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549981de332593192778283ce9c5e30357c643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6f2999b818780e38e1d7032ef6760a15831735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2026-08-06T21:37:14.970Z</dcterms:created>
  <dcterms:modified xsi:type="dcterms:W3CDTF">2026-08-06T21:37:14.987Z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